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83CE" w14:textId="76F6F97B" w:rsidR="00FE2B01" w:rsidRPr="007A529F" w:rsidRDefault="0054382E" w:rsidP="009C50CC">
      <w:pPr>
        <w:pStyle w:val="Title"/>
        <w:jc w:val="left"/>
        <w:rPr>
          <w:noProof/>
          <w:lang w:eastAsia="en-GB"/>
        </w:rPr>
      </w:pPr>
      <w:r>
        <w:rPr>
          <w:noProof/>
          <w:lang w:eastAsia="en-GB"/>
        </w:rPr>
        <w:t xml:space="preserve">      </w:t>
      </w:r>
    </w:p>
    <w:p w14:paraId="177C4C15" w14:textId="77777777" w:rsidR="00FE2B01" w:rsidRPr="007A529F" w:rsidRDefault="00FE2B01" w:rsidP="009C50CC">
      <w:pPr>
        <w:pStyle w:val="Title"/>
        <w:rPr>
          <w:rFonts w:ascii="Arial" w:hAnsi="Arial" w:cs="Arial"/>
          <w:sz w:val="28"/>
        </w:rPr>
      </w:pPr>
    </w:p>
    <w:p w14:paraId="167F77BB" w14:textId="7C15EB0B" w:rsidR="00FE2B01" w:rsidRPr="007A529F" w:rsidRDefault="006931AE" w:rsidP="009C50CC">
      <w:pPr>
        <w:pStyle w:val="Title"/>
        <w:rPr>
          <w:rFonts w:ascii="Arial" w:hAnsi="Arial" w:cs="Arial"/>
          <w:sz w:val="28"/>
        </w:rPr>
      </w:pPr>
      <w:r>
        <w:rPr>
          <w:rFonts w:ascii="Arial" w:hAnsi="Arial" w:cs="Arial"/>
          <w:sz w:val="28"/>
        </w:rPr>
        <w:t xml:space="preserve">Education and Inclusion Branch </w:t>
      </w:r>
      <w:r w:rsidR="00FE2B01" w:rsidRPr="007A529F">
        <w:rPr>
          <w:rFonts w:ascii="Arial" w:hAnsi="Arial" w:cs="Arial"/>
          <w:sz w:val="28"/>
        </w:rPr>
        <w:t>Management Team</w:t>
      </w:r>
    </w:p>
    <w:p w14:paraId="3320F9F5" w14:textId="77777777" w:rsidR="00FE2B01" w:rsidRPr="007A529F" w:rsidRDefault="00FE2B01" w:rsidP="009C50CC">
      <w:pPr>
        <w:rPr>
          <w:rFonts w:ascii="Arial" w:hAnsi="Arial" w:cs="Arial"/>
        </w:rPr>
      </w:pPr>
    </w:p>
    <w:p w14:paraId="1321E840" w14:textId="77777777" w:rsidR="0038548B" w:rsidRDefault="0038548B" w:rsidP="009C50CC">
      <w:pPr>
        <w:rPr>
          <w:rFonts w:ascii="Arial" w:hAnsi="Arial" w:cs="Arial"/>
        </w:rPr>
      </w:pPr>
    </w:p>
    <w:tbl>
      <w:tblPr>
        <w:tblW w:w="0" w:type="auto"/>
        <w:tblInd w:w="43" w:type="dxa"/>
        <w:tblLayout w:type="fixed"/>
        <w:tblCellMar>
          <w:left w:w="43" w:type="dxa"/>
          <w:right w:w="43" w:type="dxa"/>
        </w:tblCellMar>
        <w:tblLook w:val="04A0" w:firstRow="1" w:lastRow="0" w:firstColumn="1" w:lastColumn="0" w:noHBand="0" w:noVBand="1"/>
      </w:tblPr>
      <w:tblGrid>
        <w:gridCol w:w="255"/>
        <w:gridCol w:w="7767"/>
      </w:tblGrid>
      <w:tr w:rsidR="0038548B" w14:paraId="2B2CC1EE" w14:textId="77777777" w:rsidTr="0038548B">
        <w:trPr>
          <w:cantSplit/>
          <w:trHeight w:val="411"/>
          <w:tblHeader/>
        </w:trPr>
        <w:tc>
          <w:tcPr>
            <w:tcW w:w="255" w:type="dxa"/>
            <w:tcBorders>
              <w:top w:val="single" w:sz="6" w:space="0" w:color="auto"/>
              <w:left w:val="single" w:sz="6" w:space="0" w:color="auto"/>
              <w:bottom w:val="nil"/>
              <w:right w:val="nil"/>
            </w:tcBorders>
          </w:tcPr>
          <w:p w14:paraId="16D7943A" w14:textId="77777777" w:rsidR="0038548B" w:rsidRDefault="0038548B" w:rsidP="009C50CC">
            <w:pPr>
              <w:pStyle w:val="BodyText"/>
              <w:spacing w:after="0"/>
              <w:rPr>
                <w:rFonts w:ascii="Arial" w:hAnsi="Arial" w:cs="Arial"/>
              </w:rPr>
            </w:pPr>
          </w:p>
        </w:tc>
        <w:tc>
          <w:tcPr>
            <w:tcW w:w="7767" w:type="dxa"/>
            <w:tcBorders>
              <w:top w:val="single" w:sz="6" w:space="0" w:color="auto"/>
              <w:left w:val="nil"/>
              <w:bottom w:val="nil"/>
              <w:right w:val="single" w:sz="6" w:space="0" w:color="auto"/>
            </w:tcBorders>
            <w:hideMark/>
          </w:tcPr>
          <w:p w14:paraId="675E38A7" w14:textId="77777777" w:rsidR="0038548B" w:rsidRDefault="0038548B" w:rsidP="009C50CC">
            <w:pPr>
              <w:pStyle w:val="Table"/>
              <w:spacing w:before="0"/>
              <w:rPr>
                <w:rFonts w:ascii="Arial" w:hAnsi="Arial" w:cs="Arial"/>
              </w:rPr>
            </w:pPr>
            <w:bookmarkStart w:id="0" w:name="Council"/>
            <w:bookmarkEnd w:id="0"/>
            <w:r>
              <w:rPr>
                <w:rFonts w:ascii="Arial" w:hAnsi="Arial" w:cs="Arial"/>
              </w:rPr>
              <w:t>Hampshire County Council</w:t>
            </w:r>
          </w:p>
          <w:p w14:paraId="6CCA1737" w14:textId="3DD34AE1" w:rsidR="00620A67" w:rsidRDefault="00620A67" w:rsidP="009C50CC">
            <w:pPr>
              <w:pStyle w:val="Table"/>
              <w:spacing w:before="0"/>
              <w:rPr>
                <w:rFonts w:ascii="Arial" w:hAnsi="Arial" w:cs="Arial"/>
              </w:rPr>
            </w:pPr>
            <w:r>
              <w:rPr>
                <w:rFonts w:ascii="Arial" w:hAnsi="Arial" w:cs="Arial"/>
              </w:rPr>
              <w:t>Schools Forum Report</w:t>
            </w:r>
          </w:p>
          <w:p w14:paraId="24B058BA" w14:textId="77777777" w:rsidR="00437C72" w:rsidRDefault="00437C72" w:rsidP="009C50CC">
            <w:pPr>
              <w:pStyle w:val="Table"/>
              <w:spacing w:before="0"/>
              <w:rPr>
                <w:rFonts w:ascii="Arial" w:hAnsi="Arial" w:cs="Arial"/>
              </w:rPr>
            </w:pPr>
          </w:p>
          <w:p w14:paraId="1C48AD4A" w14:textId="77777777" w:rsidR="00A261E7" w:rsidRDefault="00A261E7" w:rsidP="009C50CC">
            <w:pPr>
              <w:pStyle w:val="Table"/>
              <w:spacing w:before="0"/>
              <w:rPr>
                <w:rFonts w:ascii="Arial" w:hAnsi="Arial" w:cs="Arial"/>
              </w:rPr>
            </w:pPr>
          </w:p>
        </w:tc>
      </w:tr>
      <w:tr w:rsidR="0038548B" w14:paraId="44201F33" w14:textId="77777777" w:rsidTr="0038548B">
        <w:trPr>
          <w:trHeight w:val="512"/>
          <w:tblHeader/>
        </w:trPr>
        <w:tc>
          <w:tcPr>
            <w:tcW w:w="255" w:type="dxa"/>
            <w:tcBorders>
              <w:top w:val="nil"/>
              <w:left w:val="single" w:sz="6" w:space="0" w:color="auto"/>
              <w:bottom w:val="nil"/>
              <w:right w:val="nil"/>
            </w:tcBorders>
          </w:tcPr>
          <w:p w14:paraId="6F189D54"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1E587F80" w14:textId="689ED2A3" w:rsidR="0038548B" w:rsidRDefault="00423B64" w:rsidP="009C50CC">
            <w:pPr>
              <w:pStyle w:val="Table"/>
              <w:spacing w:before="0"/>
              <w:rPr>
                <w:rFonts w:ascii="Arial" w:hAnsi="Arial" w:cs="Arial"/>
              </w:rPr>
            </w:pPr>
            <w:bookmarkStart w:id="1" w:name="Date"/>
            <w:bookmarkEnd w:id="1"/>
            <w:r>
              <w:rPr>
                <w:rFonts w:ascii="Arial" w:hAnsi="Arial" w:cs="Arial"/>
              </w:rPr>
              <w:t>Date of Meeting:</w:t>
            </w:r>
            <w:r w:rsidR="00C579B9">
              <w:rPr>
                <w:rFonts w:ascii="Arial" w:hAnsi="Arial" w:cs="Arial"/>
              </w:rPr>
              <w:t xml:space="preserve">  </w:t>
            </w:r>
          </w:p>
        </w:tc>
      </w:tr>
      <w:tr w:rsidR="0038548B" w14:paraId="03144B75" w14:textId="77777777" w:rsidTr="009C50CC">
        <w:trPr>
          <w:cantSplit/>
          <w:trHeight w:val="561"/>
          <w:tblHeader/>
        </w:trPr>
        <w:tc>
          <w:tcPr>
            <w:tcW w:w="255" w:type="dxa"/>
            <w:tcBorders>
              <w:top w:val="nil"/>
              <w:left w:val="single" w:sz="6" w:space="0" w:color="auto"/>
              <w:bottom w:val="nil"/>
              <w:right w:val="nil"/>
            </w:tcBorders>
          </w:tcPr>
          <w:p w14:paraId="1F59CF3B"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6275A02F" w14:textId="77777777" w:rsidR="00780684" w:rsidRDefault="00423B64" w:rsidP="009C50CC">
            <w:pPr>
              <w:pStyle w:val="Table"/>
              <w:spacing w:before="0"/>
              <w:rPr>
                <w:rFonts w:ascii="Arial" w:hAnsi="Arial" w:cs="Arial"/>
              </w:rPr>
            </w:pPr>
            <w:bookmarkStart w:id="2" w:name="Subject"/>
            <w:bookmarkEnd w:id="2"/>
            <w:r>
              <w:rPr>
                <w:rFonts w:ascii="Arial" w:hAnsi="Arial" w:cs="Arial"/>
              </w:rPr>
              <w:t xml:space="preserve">Report Author: </w:t>
            </w:r>
            <w:r w:rsidR="00C579B9">
              <w:rPr>
                <w:rFonts w:ascii="Arial" w:hAnsi="Arial" w:cs="Arial"/>
              </w:rPr>
              <w:t>Michelle Nye, Headteacher, Hampshire Virtual School</w:t>
            </w:r>
          </w:p>
          <w:p w14:paraId="51E9B27B" w14:textId="77777777" w:rsidR="0035204A" w:rsidRDefault="0035204A" w:rsidP="009C50CC">
            <w:pPr>
              <w:pStyle w:val="Table"/>
              <w:spacing w:before="0"/>
              <w:rPr>
                <w:rFonts w:ascii="Arial" w:hAnsi="Arial" w:cs="Arial"/>
              </w:rPr>
            </w:pPr>
          </w:p>
          <w:p w14:paraId="536FCCE5" w14:textId="77DAA921" w:rsidR="00195607" w:rsidRDefault="00195607" w:rsidP="009C50CC">
            <w:pPr>
              <w:pStyle w:val="Table"/>
              <w:spacing w:before="0"/>
              <w:rPr>
                <w:rFonts w:ascii="Arial" w:hAnsi="Arial" w:cs="Arial"/>
              </w:rPr>
            </w:pPr>
          </w:p>
        </w:tc>
      </w:tr>
      <w:tr w:rsidR="009C50CC" w14:paraId="0BFBCF57" w14:textId="77777777" w:rsidTr="0038548B">
        <w:trPr>
          <w:cantSplit/>
          <w:trHeight w:val="586"/>
          <w:tblHeader/>
        </w:trPr>
        <w:tc>
          <w:tcPr>
            <w:tcW w:w="255" w:type="dxa"/>
            <w:tcBorders>
              <w:top w:val="nil"/>
              <w:left w:val="single" w:sz="6" w:space="0" w:color="auto"/>
              <w:bottom w:val="nil"/>
              <w:right w:val="nil"/>
            </w:tcBorders>
          </w:tcPr>
          <w:p w14:paraId="7BFA9F4B" w14:textId="77777777" w:rsidR="009C50CC" w:rsidRDefault="009C50CC" w:rsidP="009C50CC">
            <w:pPr>
              <w:pStyle w:val="BodyText"/>
              <w:spacing w:after="0"/>
              <w:rPr>
                <w:rFonts w:ascii="Arial" w:hAnsi="Arial" w:cs="Arial"/>
              </w:rPr>
            </w:pPr>
          </w:p>
        </w:tc>
        <w:tc>
          <w:tcPr>
            <w:tcW w:w="7767" w:type="dxa"/>
            <w:tcBorders>
              <w:top w:val="nil"/>
              <w:left w:val="nil"/>
              <w:bottom w:val="nil"/>
              <w:right w:val="single" w:sz="6" w:space="0" w:color="auto"/>
            </w:tcBorders>
          </w:tcPr>
          <w:p w14:paraId="58BDFF66" w14:textId="566E5939" w:rsidR="009C50CC" w:rsidDel="00780684" w:rsidRDefault="00C90540" w:rsidP="009C50CC">
            <w:pPr>
              <w:pStyle w:val="Table"/>
              <w:spacing w:before="0"/>
              <w:rPr>
                <w:rFonts w:ascii="Arial" w:hAnsi="Arial" w:cs="Arial"/>
              </w:rPr>
            </w:pPr>
            <w:r>
              <w:rPr>
                <w:rFonts w:ascii="Arial" w:hAnsi="Arial" w:cs="Arial"/>
              </w:rPr>
              <w:t>Title of Report</w:t>
            </w:r>
            <w:r w:rsidR="00423B64">
              <w:rPr>
                <w:rFonts w:ascii="Arial" w:hAnsi="Arial" w:cs="Arial"/>
              </w:rPr>
              <w:t>:</w:t>
            </w:r>
            <w:r w:rsidR="00C579B9">
              <w:rPr>
                <w:rFonts w:ascii="Arial" w:hAnsi="Arial" w:cs="Arial"/>
              </w:rPr>
              <w:t xml:space="preserve">  </w:t>
            </w:r>
            <w:r w:rsidR="00C579B9" w:rsidRPr="00C579B9">
              <w:rPr>
                <w:rFonts w:ascii="Arial" w:hAnsi="Arial" w:cs="Arial"/>
                <w:color w:val="000000"/>
                <w:szCs w:val="24"/>
              </w:rPr>
              <w:t>Pupil Premium Plus for looked after children</w:t>
            </w:r>
            <w:r w:rsidR="0035204A">
              <w:rPr>
                <w:rFonts w:ascii="Arial" w:hAnsi="Arial" w:cs="Arial"/>
                <w:color w:val="000000"/>
                <w:szCs w:val="24"/>
              </w:rPr>
              <w:t xml:space="preserve">, </w:t>
            </w:r>
            <w:r w:rsidR="00C579B9" w:rsidRPr="00C579B9">
              <w:rPr>
                <w:rFonts w:ascii="Arial" w:hAnsi="Arial" w:cs="Arial"/>
                <w:color w:val="000000"/>
                <w:szCs w:val="24"/>
              </w:rPr>
              <w:t>Virtual School Annual Update 202</w:t>
            </w:r>
            <w:r w:rsidR="00442694">
              <w:rPr>
                <w:rFonts w:ascii="Arial" w:hAnsi="Arial" w:cs="Arial"/>
                <w:color w:val="000000"/>
                <w:szCs w:val="24"/>
              </w:rPr>
              <w:t>4</w:t>
            </w:r>
            <w:r w:rsidR="00C579B9" w:rsidRPr="00C579B9">
              <w:rPr>
                <w:rFonts w:ascii="Arial" w:hAnsi="Arial" w:cs="Arial"/>
                <w:color w:val="000000"/>
                <w:szCs w:val="24"/>
              </w:rPr>
              <w:t>-202</w:t>
            </w:r>
            <w:r w:rsidR="00442694">
              <w:rPr>
                <w:rFonts w:ascii="Arial" w:hAnsi="Arial" w:cs="Arial"/>
                <w:color w:val="000000"/>
                <w:szCs w:val="24"/>
              </w:rPr>
              <w:t>5</w:t>
            </w:r>
          </w:p>
        </w:tc>
      </w:tr>
      <w:tr w:rsidR="0038548B" w14:paraId="18E03081" w14:textId="77777777" w:rsidTr="00620A67">
        <w:trPr>
          <w:cantSplit/>
          <w:trHeight w:val="240"/>
          <w:tblHeader/>
        </w:trPr>
        <w:tc>
          <w:tcPr>
            <w:tcW w:w="255" w:type="dxa"/>
            <w:tcBorders>
              <w:top w:val="nil"/>
              <w:left w:val="single" w:sz="6" w:space="0" w:color="auto"/>
              <w:bottom w:val="nil"/>
              <w:right w:val="nil"/>
            </w:tcBorders>
          </w:tcPr>
          <w:p w14:paraId="1FCA0227"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4862FF12" w14:textId="77777777" w:rsidR="00A261E7" w:rsidRDefault="00A261E7" w:rsidP="00824441">
            <w:pPr>
              <w:pStyle w:val="Table"/>
              <w:spacing w:before="0"/>
              <w:rPr>
                <w:rFonts w:ascii="Arial" w:hAnsi="Arial" w:cs="Arial"/>
              </w:rPr>
            </w:pPr>
            <w:bookmarkStart w:id="3" w:name="Author"/>
            <w:bookmarkEnd w:id="3"/>
          </w:p>
        </w:tc>
      </w:tr>
      <w:tr w:rsidR="00620A67" w14:paraId="67B1BD32" w14:textId="77777777" w:rsidTr="0038548B">
        <w:trPr>
          <w:cantSplit/>
          <w:trHeight w:val="240"/>
          <w:tblHeader/>
        </w:trPr>
        <w:tc>
          <w:tcPr>
            <w:tcW w:w="255" w:type="dxa"/>
            <w:tcBorders>
              <w:top w:val="nil"/>
              <w:left w:val="single" w:sz="6" w:space="0" w:color="auto"/>
              <w:bottom w:val="single" w:sz="6" w:space="0" w:color="auto"/>
              <w:right w:val="nil"/>
            </w:tcBorders>
          </w:tcPr>
          <w:p w14:paraId="2DA35D7A" w14:textId="77777777" w:rsidR="00620A67" w:rsidRDefault="00620A67" w:rsidP="009C50CC">
            <w:pPr>
              <w:pStyle w:val="BodyText"/>
              <w:spacing w:after="0"/>
              <w:rPr>
                <w:rFonts w:ascii="Arial" w:hAnsi="Arial" w:cs="Arial"/>
              </w:rPr>
            </w:pPr>
          </w:p>
        </w:tc>
        <w:tc>
          <w:tcPr>
            <w:tcW w:w="7767" w:type="dxa"/>
            <w:tcBorders>
              <w:top w:val="nil"/>
              <w:left w:val="nil"/>
              <w:bottom w:val="single" w:sz="6" w:space="0" w:color="auto"/>
              <w:right w:val="single" w:sz="6" w:space="0" w:color="auto"/>
            </w:tcBorders>
          </w:tcPr>
          <w:p w14:paraId="6F45E6BC" w14:textId="6D255F81" w:rsidR="00620A67" w:rsidRDefault="00620A67" w:rsidP="00824441">
            <w:pPr>
              <w:pStyle w:val="Table"/>
              <w:spacing w:before="0"/>
              <w:rPr>
                <w:rFonts w:ascii="Arial" w:hAnsi="Arial" w:cs="Arial"/>
              </w:rPr>
            </w:pPr>
            <w:r>
              <w:rPr>
                <w:rFonts w:ascii="Arial" w:hAnsi="Arial" w:cs="Arial"/>
              </w:rPr>
              <w:t>Confidential: No</w:t>
            </w:r>
          </w:p>
        </w:tc>
      </w:tr>
    </w:tbl>
    <w:p w14:paraId="6BB18BF8" w14:textId="77777777" w:rsidR="0038548B" w:rsidRDefault="0038548B" w:rsidP="009C50CC">
      <w:pPr>
        <w:rPr>
          <w:rFonts w:ascii="Arial" w:hAnsi="Arial" w:cs="Arial"/>
        </w:rPr>
      </w:pPr>
    </w:p>
    <w:p w14:paraId="15539166" w14:textId="675298CE" w:rsidR="0038548B" w:rsidRDefault="0038548B" w:rsidP="009C50CC">
      <w:pPr>
        <w:pStyle w:val="BodyText"/>
        <w:spacing w:after="0"/>
        <w:ind w:left="0"/>
        <w:rPr>
          <w:rFonts w:ascii="Arial" w:hAnsi="Arial" w:cs="Arial"/>
        </w:rPr>
      </w:pPr>
      <w:bookmarkStart w:id="4" w:name="ContactText"/>
      <w:r>
        <w:rPr>
          <w:rFonts w:ascii="Arial" w:hAnsi="Arial" w:cs="Arial"/>
        </w:rPr>
        <w:t xml:space="preserve">Contact: </w:t>
      </w:r>
      <w:bookmarkStart w:id="5" w:name="Contact"/>
      <w:bookmarkStart w:id="6" w:name="Ext"/>
      <w:bookmarkEnd w:id="4"/>
      <w:bookmarkEnd w:id="5"/>
      <w:bookmarkEnd w:id="6"/>
      <w:r w:rsidR="00C579B9">
        <w:rPr>
          <w:rFonts w:ascii="Arial" w:hAnsi="Arial" w:cs="Arial"/>
        </w:rPr>
        <w:t xml:space="preserve">Michelle Nye, 01962 835227, </w:t>
      </w:r>
      <w:hyperlink r:id="rId11" w:history="1">
        <w:r w:rsidR="00C579B9" w:rsidRPr="00695BCF">
          <w:rPr>
            <w:rStyle w:val="Hyperlink"/>
            <w:rFonts w:ascii="Arial" w:hAnsi="Arial" w:cs="Arial"/>
          </w:rPr>
          <w:t>michelle.nye@hants.gov.uk</w:t>
        </w:r>
      </w:hyperlink>
      <w:r w:rsidR="00C579B9">
        <w:rPr>
          <w:rFonts w:ascii="Arial" w:hAnsi="Arial" w:cs="Arial"/>
        </w:rPr>
        <w:tab/>
      </w:r>
    </w:p>
    <w:p w14:paraId="41FDA389" w14:textId="77777777" w:rsidR="00C90540" w:rsidRDefault="00C90540" w:rsidP="009C50CC">
      <w:pPr>
        <w:rPr>
          <w:rFonts w:ascii="Arial" w:hAnsi="Arial" w:cs="Arial"/>
          <w:snapToGrid w:val="0"/>
        </w:rPr>
      </w:pPr>
    </w:p>
    <w:p w14:paraId="3A77A26D" w14:textId="77777777" w:rsidR="00C90540" w:rsidRDefault="00C90540" w:rsidP="009C50CC">
      <w:pPr>
        <w:rPr>
          <w:rFonts w:ascii="Arial" w:hAnsi="Arial" w:cs="Arial"/>
          <w:snapToGrid w:val="0"/>
        </w:rPr>
        <w:sectPr w:rsidR="00C90540" w:rsidSect="0038548B">
          <w:headerReference w:type="default" r:id="rId12"/>
          <w:footerReference w:type="even" r:id="rId13"/>
          <w:footerReference w:type="default" r:id="rId14"/>
          <w:type w:val="continuous"/>
          <w:pgSz w:w="11906" w:h="16838"/>
          <w:pgMar w:top="1440" w:right="1800" w:bottom="1440" w:left="1800" w:header="720" w:footer="720" w:gutter="0"/>
          <w:pgNumType w:start="1"/>
          <w:cols w:space="720"/>
        </w:sectPr>
      </w:pPr>
    </w:p>
    <w:p w14:paraId="1A9EF968" w14:textId="77777777" w:rsidR="0038548B" w:rsidRDefault="0038548B" w:rsidP="009C50CC">
      <w:pPr>
        <w:pStyle w:val="Heading3"/>
        <w:numPr>
          <w:ilvl w:val="0"/>
          <w:numId w:val="0"/>
        </w:numPr>
        <w:spacing w:before="0"/>
        <w:ind w:left="454" w:hanging="454"/>
        <w:rPr>
          <w:rFonts w:ascii="Arial" w:hAnsi="Arial" w:cs="Arial"/>
          <w:b/>
          <w:bCs/>
        </w:rPr>
      </w:pPr>
      <w:bookmarkStart w:id="7" w:name="Cursor"/>
      <w:bookmarkEnd w:id="7"/>
      <w:r w:rsidRPr="009C50CC">
        <w:rPr>
          <w:rFonts w:ascii="Arial" w:hAnsi="Arial" w:cs="Arial"/>
          <w:b/>
          <w:bCs/>
        </w:rPr>
        <w:t>Purpose of this Report</w:t>
      </w:r>
    </w:p>
    <w:p w14:paraId="325E2136" w14:textId="77777777" w:rsidR="000B0776" w:rsidRPr="000B0776" w:rsidRDefault="000B0776" w:rsidP="000B0776">
      <w:pPr>
        <w:pStyle w:val="Heading3"/>
        <w:numPr>
          <w:ilvl w:val="0"/>
          <w:numId w:val="0"/>
        </w:numPr>
        <w:spacing w:before="0"/>
        <w:rPr>
          <w:rFonts w:ascii="Arial" w:hAnsi="Arial" w:cs="Arial"/>
          <w:b/>
          <w:bCs/>
          <w:sz w:val="20"/>
          <w:szCs w:val="16"/>
        </w:rPr>
      </w:pPr>
    </w:p>
    <w:p w14:paraId="6650971A" w14:textId="1FEBF97E" w:rsidR="004A2967" w:rsidRDefault="0038548B" w:rsidP="004A2967">
      <w:pPr>
        <w:pStyle w:val="ListParagraph"/>
        <w:numPr>
          <w:ilvl w:val="0"/>
          <w:numId w:val="23"/>
        </w:numPr>
        <w:suppressAutoHyphens/>
        <w:autoSpaceDN w:val="0"/>
        <w:spacing w:before="60" w:line="276" w:lineRule="auto"/>
        <w:ind w:right="-199"/>
        <w:textAlignment w:val="baseline"/>
        <w:rPr>
          <w:rFonts w:ascii="Arial" w:hAnsi="Arial" w:cs="Arial"/>
          <w:szCs w:val="24"/>
        </w:rPr>
      </w:pPr>
      <w:r w:rsidRPr="009C50CC">
        <w:rPr>
          <w:rFonts w:ascii="Arial" w:hAnsi="Arial" w:cs="Arial"/>
        </w:rPr>
        <w:t>The purpose of this report is to</w:t>
      </w:r>
      <w:r w:rsidR="004A2967">
        <w:rPr>
          <w:rFonts w:ascii="Arial" w:hAnsi="Arial" w:cs="Arial"/>
        </w:rPr>
        <w:t xml:space="preserve"> </w:t>
      </w:r>
      <w:r w:rsidR="004A2967" w:rsidRPr="00A419BC">
        <w:rPr>
          <w:rFonts w:ascii="Arial" w:hAnsi="Arial" w:cs="Arial"/>
          <w:szCs w:val="24"/>
        </w:rPr>
        <w:t>provide an annual overview of the looked after child pupil premium, also referred to as pupil premium plus. It outlines the role of the Virtual School Head (VSH) in relation to this grant, and the way that the centrally held portion of the grant is being used to improve educational progress and outcomes of Hampshire’s children in care.</w:t>
      </w:r>
    </w:p>
    <w:p w14:paraId="34830A2C" w14:textId="78ED8E6D" w:rsidR="009C50CC" w:rsidRPr="009C50CC" w:rsidRDefault="0038548B" w:rsidP="004A2967">
      <w:pPr>
        <w:pStyle w:val="Heading3"/>
        <w:numPr>
          <w:ilvl w:val="0"/>
          <w:numId w:val="0"/>
        </w:numPr>
        <w:spacing w:before="0"/>
        <w:ind w:left="567"/>
        <w:rPr>
          <w:rStyle w:val="StyleHeading4ItalicChar"/>
          <w:b/>
          <w:i w:val="0"/>
          <w:iCs w:val="0"/>
          <w:szCs w:val="20"/>
        </w:rPr>
      </w:pPr>
      <w:r w:rsidRPr="009C50CC">
        <w:rPr>
          <w:rFonts w:ascii="Arial" w:hAnsi="Arial" w:cs="Arial"/>
        </w:rPr>
        <w:t xml:space="preserve"> </w:t>
      </w:r>
    </w:p>
    <w:p w14:paraId="222A03B7" w14:textId="77777777" w:rsidR="0038548B" w:rsidRPr="009C50CC" w:rsidRDefault="0038548B" w:rsidP="000B0776">
      <w:pPr>
        <w:pStyle w:val="Heading3"/>
        <w:numPr>
          <w:ilvl w:val="0"/>
          <w:numId w:val="0"/>
        </w:numPr>
        <w:spacing w:before="0"/>
        <w:ind w:left="720" w:hanging="720"/>
        <w:rPr>
          <w:rFonts w:ascii="Arial" w:hAnsi="Arial" w:cs="Arial"/>
          <w:b/>
        </w:rPr>
      </w:pPr>
    </w:p>
    <w:p w14:paraId="40DD5321" w14:textId="77777777" w:rsidR="0038548B" w:rsidRDefault="0038548B" w:rsidP="009C50CC">
      <w:pPr>
        <w:pStyle w:val="Heading3"/>
        <w:numPr>
          <w:ilvl w:val="0"/>
          <w:numId w:val="0"/>
        </w:numPr>
        <w:spacing w:before="0"/>
        <w:ind w:left="454" w:hanging="454"/>
        <w:rPr>
          <w:rFonts w:ascii="Arial" w:hAnsi="Arial" w:cs="Arial"/>
          <w:b/>
          <w:bCs/>
        </w:rPr>
      </w:pPr>
      <w:r w:rsidRPr="009C50CC">
        <w:rPr>
          <w:rFonts w:ascii="Arial" w:hAnsi="Arial" w:cs="Arial"/>
          <w:b/>
          <w:bCs/>
        </w:rPr>
        <w:t xml:space="preserve">Executive Summary </w:t>
      </w:r>
    </w:p>
    <w:p w14:paraId="564E1B20" w14:textId="77777777" w:rsidR="00C90540" w:rsidRPr="009C50CC" w:rsidRDefault="00C90540" w:rsidP="009C50CC">
      <w:pPr>
        <w:pStyle w:val="Heading3"/>
        <w:numPr>
          <w:ilvl w:val="0"/>
          <w:numId w:val="0"/>
        </w:numPr>
        <w:spacing w:before="0"/>
        <w:ind w:left="454" w:hanging="454"/>
        <w:rPr>
          <w:rFonts w:ascii="Arial" w:hAnsi="Arial" w:cs="Arial"/>
          <w:b/>
          <w:bCs/>
        </w:rPr>
      </w:pPr>
    </w:p>
    <w:p w14:paraId="126AB039" w14:textId="77777777" w:rsidR="004A2967" w:rsidRPr="001E53F6"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 xml:space="preserve">The report is informed by scrutiny of personal education plans which record how pupil premium plus funding is used and by ‘Corporate Parent’ visits to schools undertaken by the Virtual School when effective use of this funding is discussed. </w:t>
      </w:r>
    </w:p>
    <w:p w14:paraId="23671276" w14:textId="77777777" w:rsidR="009C50CC" w:rsidRPr="0038548B" w:rsidRDefault="009C50CC" w:rsidP="009C50CC">
      <w:pPr>
        <w:ind w:left="720"/>
        <w:rPr>
          <w:rFonts w:ascii="Arial" w:hAnsi="Arial" w:cs="Arial"/>
          <w:i/>
          <w:iCs/>
        </w:rPr>
      </w:pPr>
    </w:p>
    <w:p w14:paraId="443C06A5" w14:textId="48DCB1A1" w:rsidR="009C50CC"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4A2967">
        <w:rPr>
          <w:rFonts w:ascii="Arial" w:hAnsi="Arial" w:cs="Arial"/>
          <w:szCs w:val="24"/>
        </w:rPr>
        <w:t xml:space="preserve">Reporting in relation to pupil premium plus is not a statutory requirement. However, it was agreed that an annual update would be introduced for the purposes of transparency and to support collegiate working with the Schools’ Forum. </w:t>
      </w:r>
    </w:p>
    <w:p w14:paraId="6F12CD18" w14:textId="77777777" w:rsidR="004A2967" w:rsidRPr="00195607" w:rsidRDefault="004A2967" w:rsidP="00195607">
      <w:pPr>
        <w:suppressAutoHyphens/>
        <w:autoSpaceDN w:val="0"/>
        <w:spacing w:line="276" w:lineRule="auto"/>
        <w:ind w:right="-199"/>
        <w:textAlignment w:val="baseline"/>
        <w:rPr>
          <w:rFonts w:ascii="Arial" w:hAnsi="Arial" w:cs="Arial"/>
          <w:szCs w:val="24"/>
        </w:rPr>
      </w:pPr>
    </w:p>
    <w:p w14:paraId="4DD7B03F" w14:textId="77777777" w:rsidR="009C50CC" w:rsidRDefault="009C50CC" w:rsidP="009C50CC">
      <w:pPr>
        <w:pStyle w:val="Heading3"/>
        <w:numPr>
          <w:ilvl w:val="0"/>
          <w:numId w:val="0"/>
        </w:numPr>
        <w:spacing w:before="0"/>
        <w:rPr>
          <w:rFonts w:ascii="Arial" w:hAnsi="Arial" w:cs="Arial"/>
          <w:b/>
          <w:bCs/>
        </w:rPr>
      </w:pPr>
    </w:p>
    <w:p w14:paraId="66914597" w14:textId="77777777" w:rsidR="00780684" w:rsidRDefault="00780684" w:rsidP="009C50CC">
      <w:pPr>
        <w:pStyle w:val="Heading3"/>
        <w:numPr>
          <w:ilvl w:val="0"/>
          <w:numId w:val="0"/>
        </w:numPr>
        <w:spacing w:before="0"/>
        <w:rPr>
          <w:rFonts w:ascii="Arial" w:hAnsi="Arial" w:cs="Arial"/>
          <w:b/>
          <w:bCs/>
        </w:rPr>
      </w:pPr>
      <w:r w:rsidRPr="009C50CC">
        <w:rPr>
          <w:rFonts w:ascii="Arial" w:hAnsi="Arial" w:cs="Arial"/>
          <w:b/>
          <w:bCs/>
        </w:rPr>
        <w:t xml:space="preserve">Relevant Background and </w:t>
      </w:r>
      <w:r>
        <w:rPr>
          <w:rFonts w:ascii="Arial" w:hAnsi="Arial" w:cs="Arial"/>
          <w:b/>
          <w:bCs/>
        </w:rPr>
        <w:t>information</w:t>
      </w:r>
    </w:p>
    <w:p w14:paraId="50685587" w14:textId="77777777" w:rsidR="009C50CC" w:rsidRDefault="009C50CC" w:rsidP="009C50CC">
      <w:pPr>
        <w:pStyle w:val="Heading3"/>
        <w:numPr>
          <w:ilvl w:val="0"/>
          <w:numId w:val="0"/>
        </w:numPr>
        <w:spacing w:before="0"/>
        <w:rPr>
          <w:rFonts w:ascii="Arial" w:hAnsi="Arial" w:cs="Arial"/>
          <w:b/>
          <w:bCs/>
        </w:rPr>
      </w:pPr>
    </w:p>
    <w:p w14:paraId="15556209" w14:textId="683EBE23"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7C214B">
        <w:rPr>
          <w:rFonts w:ascii="Arial" w:hAnsi="Arial" w:cs="Arial"/>
          <w:szCs w:val="24"/>
        </w:rPr>
        <w:t xml:space="preserve">As of </w:t>
      </w:r>
      <w:r w:rsidR="00E1032F">
        <w:rPr>
          <w:rFonts w:ascii="Arial" w:hAnsi="Arial" w:cs="Arial"/>
          <w:szCs w:val="24"/>
        </w:rPr>
        <w:t>1</w:t>
      </w:r>
      <w:r w:rsidRPr="007C214B">
        <w:rPr>
          <w:rFonts w:ascii="Arial" w:hAnsi="Arial" w:cs="Arial"/>
          <w:szCs w:val="24"/>
        </w:rPr>
        <w:t xml:space="preserve"> April 202</w:t>
      </w:r>
      <w:r w:rsidR="00F565D7">
        <w:rPr>
          <w:rFonts w:ascii="Arial" w:hAnsi="Arial" w:cs="Arial"/>
          <w:szCs w:val="24"/>
        </w:rPr>
        <w:t>5</w:t>
      </w:r>
      <w:r w:rsidRPr="007C214B">
        <w:rPr>
          <w:rFonts w:ascii="Arial" w:hAnsi="Arial" w:cs="Arial"/>
          <w:szCs w:val="24"/>
        </w:rPr>
        <w:t>, there were 19</w:t>
      </w:r>
      <w:r w:rsidR="00E1032F">
        <w:rPr>
          <w:rFonts w:ascii="Arial" w:hAnsi="Arial" w:cs="Arial"/>
          <w:szCs w:val="24"/>
        </w:rPr>
        <w:t>5</w:t>
      </w:r>
      <w:r w:rsidRPr="007C214B">
        <w:rPr>
          <w:rFonts w:ascii="Arial" w:hAnsi="Arial" w:cs="Arial"/>
          <w:szCs w:val="24"/>
        </w:rPr>
        <w:t>0 children recorded as being in the care of Hampshire</w:t>
      </w:r>
      <w:r w:rsidRPr="00A419BC">
        <w:rPr>
          <w:rFonts w:ascii="Arial" w:hAnsi="Arial" w:cs="Arial"/>
          <w:szCs w:val="24"/>
        </w:rPr>
        <w:t xml:space="preserve">, this is approximately </w:t>
      </w:r>
      <w:r w:rsidR="00E1032F">
        <w:rPr>
          <w:rFonts w:ascii="Arial" w:hAnsi="Arial" w:cs="Arial"/>
          <w:szCs w:val="24"/>
        </w:rPr>
        <w:t xml:space="preserve">30 less </w:t>
      </w:r>
      <w:r w:rsidRPr="00A419BC">
        <w:rPr>
          <w:rFonts w:ascii="Arial" w:hAnsi="Arial" w:cs="Arial"/>
          <w:szCs w:val="24"/>
        </w:rPr>
        <w:t>than last year. This includes 1</w:t>
      </w:r>
      <w:r w:rsidR="00712A0F">
        <w:rPr>
          <w:rFonts w:ascii="Arial" w:hAnsi="Arial" w:cs="Arial"/>
          <w:szCs w:val="24"/>
        </w:rPr>
        <w:t>180</w:t>
      </w:r>
      <w:r w:rsidRPr="00A419BC">
        <w:rPr>
          <w:rFonts w:ascii="Arial" w:hAnsi="Arial" w:cs="Arial"/>
          <w:szCs w:val="24"/>
        </w:rPr>
        <w:t xml:space="preserve"> of statutory school age, between key stage 1 and key stage 4. There </w:t>
      </w:r>
      <w:r w:rsidRPr="00A419BC">
        <w:rPr>
          <w:rFonts w:ascii="Arial" w:hAnsi="Arial" w:cs="Arial"/>
          <w:szCs w:val="24"/>
        </w:rPr>
        <w:lastRenderedPageBreak/>
        <w:t xml:space="preserve">were </w:t>
      </w:r>
      <w:r w:rsidR="00066DD8">
        <w:rPr>
          <w:rFonts w:ascii="Arial" w:hAnsi="Arial" w:cs="Arial"/>
          <w:szCs w:val="24"/>
        </w:rPr>
        <w:t>212</w:t>
      </w:r>
      <w:r w:rsidRPr="00A419BC">
        <w:rPr>
          <w:rFonts w:ascii="Arial" w:hAnsi="Arial" w:cs="Arial"/>
          <w:szCs w:val="24"/>
        </w:rPr>
        <w:t xml:space="preserve"> in pre-school, </w:t>
      </w:r>
      <w:r w:rsidR="00C06F28">
        <w:rPr>
          <w:rFonts w:ascii="Arial" w:hAnsi="Arial" w:cs="Arial"/>
          <w:szCs w:val="24"/>
        </w:rPr>
        <w:t>14</w:t>
      </w:r>
      <w:r>
        <w:rPr>
          <w:rFonts w:ascii="Arial" w:hAnsi="Arial" w:cs="Arial"/>
          <w:szCs w:val="24"/>
        </w:rPr>
        <w:t>3</w:t>
      </w:r>
      <w:r w:rsidRPr="00A419BC">
        <w:rPr>
          <w:rFonts w:ascii="Arial" w:hAnsi="Arial" w:cs="Arial"/>
          <w:szCs w:val="24"/>
        </w:rPr>
        <w:t xml:space="preserve"> in key stage 1,</w:t>
      </w:r>
      <w:r w:rsidR="00743AFC">
        <w:rPr>
          <w:rFonts w:ascii="Arial" w:hAnsi="Arial" w:cs="Arial"/>
          <w:szCs w:val="24"/>
        </w:rPr>
        <w:t>341</w:t>
      </w:r>
      <w:r w:rsidRPr="00A419BC">
        <w:rPr>
          <w:rFonts w:ascii="Arial" w:hAnsi="Arial" w:cs="Arial"/>
          <w:szCs w:val="24"/>
        </w:rPr>
        <w:t xml:space="preserve"> in key stage 2, 3</w:t>
      </w:r>
      <w:r w:rsidR="00592887">
        <w:rPr>
          <w:rFonts w:ascii="Arial" w:hAnsi="Arial" w:cs="Arial"/>
          <w:szCs w:val="24"/>
        </w:rPr>
        <w:t>52</w:t>
      </w:r>
      <w:r w:rsidRPr="00A419BC">
        <w:rPr>
          <w:rFonts w:ascii="Arial" w:hAnsi="Arial" w:cs="Arial"/>
          <w:szCs w:val="24"/>
        </w:rPr>
        <w:t xml:space="preserve"> in key stage 3 and </w:t>
      </w:r>
      <w:r>
        <w:rPr>
          <w:rFonts w:ascii="Arial" w:hAnsi="Arial" w:cs="Arial"/>
          <w:szCs w:val="24"/>
        </w:rPr>
        <w:t>3</w:t>
      </w:r>
      <w:r w:rsidR="002C2220">
        <w:rPr>
          <w:rFonts w:ascii="Arial" w:hAnsi="Arial" w:cs="Arial"/>
          <w:szCs w:val="24"/>
        </w:rPr>
        <w:t>44</w:t>
      </w:r>
      <w:r w:rsidRPr="00A419BC">
        <w:rPr>
          <w:rFonts w:ascii="Arial" w:hAnsi="Arial" w:cs="Arial"/>
          <w:szCs w:val="24"/>
        </w:rPr>
        <w:t xml:space="preserve"> in key stage 4. There were </w:t>
      </w:r>
      <w:r>
        <w:rPr>
          <w:rFonts w:ascii="Arial" w:hAnsi="Arial" w:cs="Arial"/>
          <w:szCs w:val="24"/>
        </w:rPr>
        <w:t>5</w:t>
      </w:r>
      <w:r w:rsidR="00BD7E68">
        <w:rPr>
          <w:rFonts w:ascii="Arial" w:hAnsi="Arial" w:cs="Arial"/>
          <w:szCs w:val="24"/>
        </w:rPr>
        <w:t>5</w:t>
      </w:r>
      <w:r>
        <w:rPr>
          <w:rFonts w:ascii="Arial" w:hAnsi="Arial" w:cs="Arial"/>
          <w:szCs w:val="24"/>
        </w:rPr>
        <w:t>8</w:t>
      </w:r>
      <w:r w:rsidRPr="00A419BC">
        <w:rPr>
          <w:rFonts w:ascii="Arial" w:hAnsi="Arial" w:cs="Arial"/>
          <w:szCs w:val="24"/>
        </w:rPr>
        <w:t xml:space="preserve"> in key stage 5</w:t>
      </w:r>
      <w:r>
        <w:rPr>
          <w:rFonts w:ascii="Arial" w:hAnsi="Arial" w:cs="Arial"/>
          <w:szCs w:val="24"/>
        </w:rPr>
        <w:t xml:space="preserve"> </w:t>
      </w:r>
      <w:r w:rsidRPr="007C214B">
        <w:rPr>
          <w:rFonts w:ascii="Arial" w:hAnsi="Arial" w:cs="Arial"/>
          <w:szCs w:val="24"/>
        </w:rPr>
        <w:t>(</w:t>
      </w:r>
      <w:r>
        <w:rPr>
          <w:rFonts w:ascii="Arial" w:hAnsi="Arial" w:cs="Arial"/>
          <w:szCs w:val="24"/>
        </w:rPr>
        <w:t xml:space="preserve">approximately </w:t>
      </w:r>
      <w:r w:rsidR="00BD7E68">
        <w:rPr>
          <w:rFonts w:ascii="Arial" w:hAnsi="Arial" w:cs="Arial"/>
          <w:szCs w:val="24"/>
        </w:rPr>
        <w:t>30</w:t>
      </w:r>
      <w:r w:rsidRPr="007C214B">
        <w:rPr>
          <w:rFonts w:ascii="Arial" w:hAnsi="Arial" w:cs="Arial"/>
          <w:szCs w:val="24"/>
        </w:rPr>
        <w:t xml:space="preserve"> more than</w:t>
      </w:r>
      <w:r>
        <w:rPr>
          <w:rFonts w:ascii="Arial" w:hAnsi="Arial" w:cs="Arial"/>
          <w:szCs w:val="24"/>
        </w:rPr>
        <w:t xml:space="preserve"> recorded</w:t>
      </w:r>
      <w:r w:rsidRPr="007C214B">
        <w:rPr>
          <w:rFonts w:ascii="Arial" w:hAnsi="Arial" w:cs="Arial"/>
          <w:szCs w:val="24"/>
        </w:rPr>
        <w:t xml:space="preserve"> in 202</w:t>
      </w:r>
      <w:r w:rsidR="00BD7E68">
        <w:rPr>
          <w:rFonts w:ascii="Arial" w:hAnsi="Arial" w:cs="Arial"/>
          <w:szCs w:val="24"/>
        </w:rPr>
        <w:t>3</w:t>
      </w:r>
      <w:r w:rsidRPr="007C214B">
        <w:rPr>
          <w:rFonts w:ascii="Arial" w:hAnsi="Arial" w:cs="Arial"/>
          <w:szCs w:val="24"/>
        </w:rPr>
        <w:t>-2</w:t>
      </w:r>
      <w:r w:rsidR="00BD7E68">
        <w:rPr>
          <w:rFonts w:ascii="Arial" w:hAnsi="Arial" w:cs="Arial"/>
          <w:szCs w:val="24"/>
        </w:rPr>
        <w:t>4</w:t>
      </w:r>
      <w:r w:rsidRPr="007C214B">
        <w:rPr>
          <w:rFonts w:ascii="Arial" w:hAnsi="Arial" w:cs="Arial"/>
          <w:szCs w:val="24"/>
        </w:rPr>
        <w:t>)</w:t>
      </w:r>
    </w:p>
    <w:p w14:paraId="14ACC505" w14:textId="77777777" w:rsidR="004A2967" w:rsidRPr="004A2967" w:rsidRDefault="004A2967" w:rsidP="004A2967">
      <w:pPr>
        <w:suppressAutoHyphens/>
        <w:autoSpaceDN w:val="0"/>
        <w:spacing w:line="276" w:lineRule="auto"/>
        <w:ind w:right="-199"/>
        <w:textAlignment w:val="baseline"/>
        <w:rPr>
          <w:rFonts w:ascii="Arial" w:hAnsi="Arial" w:cs="Arial"/>
          <w:szCs w:val="24"/>
        </w:rPr>
      </w:pPr>
    </w:p>
    <w:p w14:paraId="4DA60923" w14:textId="7AF54463" w:rsidR="009C50CC" w:rsidRPr="00B53FC7" w:rsidRDefault="004A2967" w:rsidP="00B53FC7">
      <w:pPr>
        <w:pStyle w:val="ListParagraph"/>
        <w:numPr>
          <w:ilvl w:val="0"/>
          <w:numId w:val="23"/>
        </w:numPr>
        <w:suppressAutoHyphens/>
        <w:autoSpaceDN w:val="0"/>
        <w:spacing w:line="276" w:lineRule="auto"/>
        <w:ind w:right="-199"/>
        <w:textAlignment w:val="baseline"/>
        <w:rPr>
          <w:rFonts w:ascii="Arial" w:hAnsi="Arial" w:cs="Arial"/>
          <w:szCs w:val="24"/>
        </w:rPr>
      </w:pPr>
      <w:r w:rsidRPr="008D6F3F">
        <w:rPr>
          <w:rFonts w:ascii="Arial" w:hAnsi="Arial" w:cs="Arial"/>
          <w:szCs w:val="24"/>
        </w:rPr>
        <w:t xml:space="preserve">Within the cohort of statutory school age children, </w:t>
      </w:r>
      <w:r w:rsidR="00896130">
        <w:rPr>
          <w:rFonts w:ascii="Arial" w:hAnsi="Arial" w:cs="Arial"/>
          <w:szCs w:val="24"/>
        </w:rPr>
        <w:t>769</w:t>
      </w:r>
      <w:r w:rsidRPr="008D6F3F">
        <w:rPr>
          <w:rFonts w:ascii="Arial" w:hAnsi="Arial" w:cs="Arial"/>
          <w:szCs w:val="24"/>
        </w:rPr>
        <w:t xml:space="preserve"> </w:t>
      </w:r>
      <w:r>
        <w:rPr>
          <w:rFonts w:ascii="Arial" w:hAnsi="Arial" w:cs="Arial"/>
          <w:szCs w:val="24"/>
        </w:rPr>
        <w:t xml:space="preserve">are </w:t>
      </w:r>
      <w:r w:rsidRPr="008D6F3F">
        <w:rPr>
          <w:rFonts w:ascii="Arial" w:hAnsi="Arial" w:cs="Arial"/>
          <w:szCs w:val="24"/>
        </w:rPr>
        <w:t xml:space="preserve">placed in Hampshire and </w:t>
      </w:r>
      <w:r w:rsidR="006D0B22">
        <w:rPr>
          <w:rFonts w:ascii="Arial" w:hAnsi="Arial" w:cs="Arial"/>
          <w:szCs w:val="24"/>
        </w:rPr>
        <w:t>411</w:t>
      </w:r>
      <w:r w:rsidRPr="008D6F3F">
        <w:rPr>
          <w:rFonts w:ascii="Arial" w:hAnsi="Arial" w:cs="Arial"/>
          <w:szCs w:val="24"/>
        </w:rPr>
        <w:t xml:space="preserve"> outside of county in another local authority (3</w:t>
      </w:r>
      <w:r w:rsidR="006D0B22">
        <w:rPr>
          <w:rFonts w:ascii="Arial" w:hAnsi="Arial" w:cs="Arial"/>
          <w:szCs w:val="24"/>
        </w:rPr>
        <w:t>4</w:t>
      </w:r>
      <w:r w:rsidRPr="008D6F3F">
        <w:rPr>
          <w:rFonts w:ascii="Arial" w:hAnsi="Arial" w:cs="Arial"/>
          <w:szCs w:val="24"/>
        </w:rPr>
        <w:t>.</w:t>
      </w:r>
      <w:r w:rsidR="006D0B22">
        <w:rPr>
          <w:rFonts w:ascii="Arial" w:hAnsi="Arial" w:cs="Arial"/>
          <w:szCs w:val="24"/>
        </w:rPr>
        <w:t>8</w:t>
      </w:r>
      <w:r w:rsidRPr="008D6F3F">
        <w:rPr>
          <w:rFonts w:ascii="Arial" w:hAnsi="Arial" w:cs="Arial"/>
          <w:szCs w:val="24"/>
        </w:rPr>
        <w:t xml:space="preserve">%). </w:t>
      </w:r>
    </w:p>
    <w:p w14:paraId="75B96F89" w14:textId="77777777" w:rsidR="000B0776" w:rsidRDefault="000B0776" w:rsidP="000B0776">
      <w:pPr>
        <w:pStyle w:val="Heading3"/>
        <w:numPr>
          <w:ilvl w:val="0"/>
          <w:numId w:val="0"/>
        </w:numPr>
        <w:spacing w:before="0"/>
        <w:ind w:left="567"/>
        <w:rPr>
          <w:rFonts w:ascii="Arial" w:hAnsi="Arial" w:cs="Arial"/>
        </w:rPr>
      </w:pPr>
    </w:p>
    <w:p w14:paraId="35890102" w14:textId="1D40DC65" w:rsidR="004A2967" w:rsidRPr="00C72CB0"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27F90AB0">
        <w:rPr>
          <w:rFonts w:ascii="Arial" w:hAnsi="Arial" w:cs="Arial"/>
          <w:szCs w:val="24"/>
        </w:rPr>
        <w:t xml:space="preserve">As of </w:t>
      </w:r>
      <w:r w:rsidR="00BD7E68">
        <w:rPr>
          <w:rFonts w:ascii="Arial" w:hAnsi="Arial" w:cs="Arial"/>
          <w:szCs w:val="24"/>
        </w:rPr>
        <w:t>1</w:t>
      </w:r>
      <w:r w:rsidRPr="27F90AB0">
        <w:rPr>
          <w:rFonts w:ascii="Arial" w:hAnsi="Arial" w:cs="Arial"/>
          <w:szCs w:val="24"/>
        </w:rPr>
        <w:t xml:space="preserve"> April 202</w:t>
      </w:r>
      <w:r w:rsidR="00BD7E68">
        <w:rPr>
          <w:rFonts w:ascii="Arial" w:hAnsi="Arial" w:cs="Arial"/>
          <w:szCs w:val="24"/>
        </w:rPr>
        <w:t>5</w:t>
      </w:r>
      <w:r w:rsidRPr="27F90AB0">
        <w:rPr>
          <w:rFonts w:ascii="Arial" w:hAnsi="Arial" w:cs="Arial"/>
          <w:szCs w:val="24"/>
        </w:rPr>
        <w:t xml:space="preserve">, </w:t>
      </w:r>
      <w:r w:rsidR="005E4EB4">
        <w:rPr>
          <w:rFonts w:ascii="Arial" w:hAnsi="Arial" w:cs="Arial"/>
          <w:szCs w:val="24"/>
        </w:rPr>
        <w:t>425</w:t>
      </w:r>
      <w:r w:rsidRPr="27F90AB0">
        <w:rPr>
          <w:rFonts w:ascii="Arial" w:hAnsi="Arial" w:cs="Arial"/>
          <w:szCs w:val="24"/>
        </w:rPr>
        <w:t xml:space="preserve"> children (3</w:t>
      </w:r>
      <w:r w:rsidR="004D3CFF">
        <w:rPr>
          <w:rFonts w:ascii="Arial" w:hAnsi="Arial" w:cs="Arial"/>
          <w:szCs w:val="24"/>
        </w:rPr>
        <w:t>6</w:t>
      </w:r>
      <w:r w:rsidRPr="27F90AB0">
        <w:rPr>
          <w:rFonts w:ascii="Arial" w:hAnsi="Arial" w:cs="Arial"/>
          <w:szCs w:val="24"/>
        </w:rPr>
        <w:t>.</w:t>
      </w:r>
      <w:r w:rsidR="004D3CFF">
        <w:rPr>
          <w:rFonts w:ascii="Arial" w:hAnsi="Arial" w:cs="Arial"/>
          <w:szCs w:val="24"/>
        </w:rPr>
        <w:t>0</w:t>
      </w:r>
      <w:r w:rsidRPr="27F90AB0">
        <w:rPr>
          <w:rFonts w:ascii="Arial" w:hAnsi="Arial" w:cs="Arial"/>
          <w:szCs w:val="24"/>
        </w:rPr>
        <w:t>%) of statutory school age had a current Education, Health and Care Plan (EHCP) with the majority</w:t>
      </w:r>
      <w:r>
        <w:rPr>
          <w:rFonts w:ascii="Arial" w:hAnsi="Arial" w:cs="Arial"/>
          <w:szCs w:val="24"/>
        </w:rPr>
        <w:t xml:space="preserve"> </w:t>
      </w:r>
      <w:r w:rsidRPr="27F90AB0">
        <w:rPr>
          <w:rFonts w:ascii="Arial" w:hAnsi="Arial" w:cs="Arial"/>
          <w:szCs w:val="24"/>
        </w:rPr>
        <w:t xml:space="preserve">being under the category of social, </w:t>
      </w:r>
      <w:bookmarkStart w:id="8" w:name="_Int_aqvBAtOL"/>
      <w:r w:rsidRPr="27F90AB0">
        <w:rPr>
          <w:rFonts w:ascii="Arial" w:hAnsi="Arial" w:cs="Arial"/>
          <w:szCs w:val="24"/>
        </w:rPr>
        <w:t>emotional</w:t>
      </w:r>
      <w:bookmarkEnd w:id="8"/>
      <w:r w:rsidRPr="27F90AB0">
        <w:rPr>
          <w:rFonts w:ascii="Arial" w:hAnsi="Arial" w:cs="Arial"/>
          <w:szCs w:val="24"/>
        </w:rPr>
        <w:t xml:space="preserve"> and mental health needs. </w:t>
      </w:r>
      <w:r w:rsidR="00A67AF0">
        <w:rPr>
          <w:rFonts w:ascii="Arial" w:hAnsi="Arial" w:cs="Arial"/>
          <w:szCs w:val="24"/>
        </w:rPr>
        <w:t>32</w:t>
      </w:r>
      <w:r w:rsidRPr="27F90AB0">
        <w:rPr>
          <w:rFonts w:ascii="Arial" w:hAnsi="Arial" w:cs="Arial"/>
          <w:szCs w:val="24"/>
        </w:rPr>
        <w:t xml:space="preserve"> children are undergoing an EHC </w:t>
      </w:r>
      <w:proofErr w:type="gramStart"/>
      <w:r w:rsidRPr="27F90AB0">
        <w:rPr>
          <w:rFonts w:ascii="Arial" w:hAnsi="Arial" w:cs="Arial"/>
          <w:szCs w:val="24"/>
        </w:rPr>
        <w:t>assessment</w:t>
      </w:r>
      <w:proofErr w:type="gramEnd"/>
      <w:r w:rsidRPr="27F90AB0">
        <w:rPr>
          <w:rFonts w:ascii="Arial" w:hAnsi="Arial" w:cs="Arial"/>
          <w:szCs w:val="24"/>
        </w:rPr>
        <w:t xml:space="preserve"> and 3</w:t>
      </w:r>
      <w:r w:rsidR="002523D3">
        <w:rPr>
          <w:rFonts w:ascii="Arial" w:hAnsi="Arial" w:cs="Arial"/>
          <w:szCs w:val="24"/>
        </w:rPr>
        <w:t>0</w:t>
      </w:r>
      <w:r w:rsidR="00F25138">
        <w:rPr>
          <w:rFonts w:ascii="Arial" w:hAnsi="Arial" w:cs="Arial"/>
          <w:szCs w:val="24"/>
        </w:rPr>
        <w:t>3</w:t>
      </w:r>
      <w:r w:rsidRPr="27F90AB0">
        <w:rPr>
          <w:rFonts w:ascii="Arial" w:hAnsi="Arial" w:cs="Arial"/>
          <w:szCs w:val="24"/>
        </w:rPr>
        <w:t xml:space="preserve"> children are on SEN support (25.</w:t>
      </w:r>
      <w:r w:rsidR="00F25138">
        <w:rPr>
          <w:rFonts w:ascii="Arial" w:hAnsi="Arial" w:cs="Arial"/>
          <w:szCs w:val="24"/>
        </w:rPr>
        <w:t>6</w:t>
      </w:r>
      <w:r w:rsidRPr="27F90AB0">
        <w:rPr>
          <w:rFonts w:ascii="Arial" w:hAnsi="Arial" w:cs="Arial"/>
          <w:szCs w:val="24"/>
        </w:rPr>
        <w:t xml:space="preserve">%), meaning over </w:t>
      </w:r>
      <w:r w:rsidR="00CC7789">
        <w:rPr>
          <w:rFonts w:ascii="Arial" w:hAnsi="Arial" w:cs="Arial"/>
          <w:szCs w:val="24"/>
        </w:rPr>
        <w:t xml:space="preserve">60% </w:t>
      </w:r>
      <w:r w:rsidRPr="27F90AB0">
        <w:rPr>
          <w:rFonts w:ascii="Arial" w:hAnsi="Arial" w:cs="Arial"/>
          <w:szCs w:val="24"/>
        </w:rPr>
        <w:t>of children in care of statutory school age have SEND needs.</w:t>
      </w:r>
    </w:p>
    <w:p w14:paraId="13661D47" w14:textId="77777777" w:rsidR="00437C72" w:rsidRDefault="00437C72" w:rsidP="009C50CC">
      <w:pPr>
        <w:pStyle w:val="Heading3"/>
        <w:numPr>
          <w:ilvl w:val="0"/>
          <w:numId w:val="0"/>
        </w:numPr>
        <w:spacing w:before="0"/>
        <w:rPr>
          <w:rFonts w:ascii="Arial" w:hAnsi="Arial" w:cs="Arial"/>
          <w:b/>
          <w:bCs/>
        </w:rPr>
      </w:pPr>
    </w:p>
    <w:p w14:paraId="3CB39F25" w14:textId="40DAB6DA" w:rsidR="004A2967" w:rsidRPr="008F5B09"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 xml:space="preserve">The Virtual School in Hampshire is committed to improving the educational outcomes for Hampshire’s children in care, in partnership with schools and the wider network of involved professionals. The Virtual School is led by </w:t>
      </w:r>
      <w:r>
        <w:rPr>
          <w:rFonts w:ascii="Arial" w:hAnsi="Arial" w:cs="Arial"/>
          <w:szCs w:val="24"/>
        </w:rPr>
        <w:t>a</w:t>
      </w:r>
      <w:r w:rsidRPr="00A419BC">
        <w:rPr>
          <w:rFonts w:ascii="Arial" w:hAnsi="Arial" w:cs="Arial"/>
          <w:szCs w:val="24"/>
        </w:rPr>
        <w:t xml:space="preserve"> Headteacher</w:t>
      </w:r>
      <w:r>
        <w:rPr>
          <w:rFonts w:ascii="Arial" w:hAnsi="Arial" w:cs="Arial"/>
          <w:szCs w:val="24"/>
        </w:rPr>
        <w:t>.</w:t>
      </w:r>
      <w:r w:rsidRPr="00A419BC">
        <w:rPr>
          <w:rFonts w:ascii="Arial" w:hAnsi="Arial" w:cs="Arial"/>
          <w:szCs w:val="24"/>
        </w:rPr>
        <w:t xml:space="preserve"> As of </w:t>
      </w:r>
      <w:r>
        <w:rPr>
          <w:rFonts w:ascii="Arial" w:hAnsi="Arial" w:cs="Arial"/>
          <w:szCs w:val="24"/>
        </w:rPr>
        <w:t xml:space="preserve">April </w:t>
      </w:r>
      <w:r w:rsidRPr="00A419BC">
        <w:rPr>
          <w:rFonts w:ascii="Arial" w:hAnsi="Arial" w:cs="Arial"/>
          <w:szCs w:val="24"/>
        </w:rPr>
        <w:t>202</w:t>
      </w:r>
      <w:r w:rsidR="00CC7789">
        <w:rPr>
          <w:rFonts w:ascii="Arial" w:hAnsi="Arial" w:cs="Arial"/>
          <w:szCs w:val="24"/>
        </w:rPr>
        <w:t>5</w:t>
      </w:r>
      <w:r w:rsidRPr="725FA8A8">
        <w:rPr>
          <w:rFonts w:ascii="Arial" w:hAnsi="Arial" w:cs="Arial"/>
          <w:szCs w:val="24"/>
        </w:rPr>
        <w:t>,</w:t>
      </w:r>
      <w:r w:rsidRPr="00A419BC">
        <w:rPr>
          <w:rFonts w:ascii="Arial" w:hAnsi="Arial" w:cs="Arial"/>
          <w:szCs w:val="24"/>
        </w:rPr>
        <w:t xml:space="preserve"> there are</w:t>
      </w:r>
      <w:r>
        <w:rPr>
          <w:rFonts w:ascii="Arial" w:hAnsi="Arial" w:cs="Arial"/>
          <w:szCs w:val="24"/>
        </w:rPr>
        <w:t xml:space="preserve"> 2</w:t>
      </w:r>
      <w:r w:rsidR="00A40E3F">
        <w:rPr>
          <w:rFonts w:ascii="Arial" w:hAnsi="Arial" w:cs="Arial"/>
          <w:szCs w:val="24"/>
        </w:rPr>
        <w:t>7</w:t>
      </w:r>
      <w:r>
        <w:rPr>
          <w:rFonts w:ascii="Arial" w:hAnsi="Arial" w:cs="Arial"/>
          <w:szCs w:val="24"/>
        </w:rPr>
        <w:t>.</w:t>
      </w:r>
      <w:r w:rsidR="007F365C">
        <w:rPr>
          <w:rFonts w:ascii="Arial" w:hAnsi="Arial" w:cs="Arial"/>
          <w:szCs w:val="24"/>
        </w:rPr>
        <w:t>4</w:t>
      </w:r>
      <w:r>
        <w:rPr>
          <w:rFonts w:ascii="Arial" w:hAnsi="Arial" w:cs="Arial"/>
          <w:szCs w:val="24"/>
        </w:rPr>
        <w:t xml:space="preserve"> </w:t>
      </w:r>
      <w:r w:rsidRPr="00A419BC">
        <w:rPr>
          <w:rFonts w:ascii="Arial" w:hAnsi="Arial" w:cs="Arial"/>
          <w:szCs w:val="24"/>
        </w:rPr>
        <w:t>FTE staff within the Virtual School</w:t>
      </w:r>
      <w:r>
        <w:rPr>
          <w:rFonts w:ascii="Arial" w:hAnsi="Arial" w:cs="Arial"/>
          <w:szCs w:val="24"/>
        </w:rPr>
        <w:t xml:space="preserve">. This includes </w:t>
      </w:r>
      <w:r w:rsidR="00CC7789">
        <w:rPr>
          <w:rFonts w:ascii="Arial" w:hAnsi="Arial" w:cs="Arial"/>
          <w:szCs w:val="24"/>
        </w:rPr>
        <w:t>3</w:t>
      </w:r>
      <w:r>
        <w:rPr>
          <w:rFonts w:ascii="Arial" w:hAnsi="Arial" w:cs="Arial"/>
          <w:szCs w:val="24"/>
        </w:rPr>
        <w:t>.5</w:t>
      </w:r>
      <w:r w:rsidR="00116E0D">
        <w:rPr>
          <w:rFonts w:ascii="Arial" w:hAnsi="Arial" w:cs="Arial"/>
          <w:szCs w:val="24"/>
        </w:rPr>
        <w:t xml:space="preserve"> </w:t>
      </w:r>
      <w:r>
        <w:rPr>
          <w:rFonts w:ascii="Arial" w:hAnsi="Arial" w:cs="Arial"/>
          <w:szCs w:val="24"/>
        </w:rPr>
        <w:t>FTE for</w:t>
      </w:r>
      <w:r w:rsidR="005334E7">
        <w:rPr>
          <w:rFonts w:ascii="Arial" w:hAnsi="Arial" w:cs="Arial"/>
          <w:szCs w:val="24"/>
        </w:rPr>
        <w:t xml:space="preserve"> the Virtual School</w:t>
      </w:r>
      <w:r>
        <w:rPr>
          <w:rFonts w:ascii="Arial" w:hAnsi="Arial" w:cs="Arial"/>
          <w:szCs w:val="24"/>
        </w:rPr>
        <w:t xml:space="preserve"> extended duties.</w:t>
      </w:r>
    </w:p>
    <w:p w14:paraId="5DC06B86" w14:textId="0D3B72E6" w:rsidR="004A2967" w:rsidRDefault="004A2967" w:rsidP="004A2967">
      <w:pPr>
        <w:pStyle w:val="Heading3"/>
        <w:numPr>
          <w:ilvl w:val="0"/>
          <w:numId w:val="0"/>
        </w:numPr>
        <w:spacing w:before="0"/>
        <w:ind w:left="720" w:hanging="720"/>
        <w:rPr>
          <w:rFonts w:ascii="Arial" w:hAnsi="Arial" w:cs="Arial"/>
          <w:b/>
          <w:bCs/>
        </w:rPr>
      </w:pPr>
    </w:p>
    <w:p w14:paraId="7969B54F" w14:textId="15A3F6D2"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27F90AB0">
        <w:rPr>
          <w:rFonts w:ascii="Arial" w:hAnsi="Arial" w:cs="Arial"/>
          <w:szCs w:val="24"/>
        </w:rPr>
        <w:t xml:space="preserve">In September 2021, the role of the Virtual School Head was extended to promote the educational needs of children with a social worker. This includes children </w:t>
      </w:r>
      <w:r>
        <w:rPr>
          <w:rFonts w:ascii="Arial" w:hAnsi="Arial" w:cs="Arial"/>
          <w:szCs w:val="24"/>
        </w:rPr>
        <w:t>and young people on child protection and child in need plans</w:t>
      </w:r>
      <w:r w:rsidRPr="27F90AB0">
        <w:rPr>
          <w:rFonts w:ascii="Arial" w:hAnsi="Arial" w:cs="Arial"/>
          <w:szCs w:val="24"/>
        </w:rPr>
        <w:t xml:space="preserve">. Non-statutory guidance outlines the current scope of this role extension which focuses on improving partnership working between education settings and the local authorities, identifying barriers across the professional network and effective strategies to raise the profile of this vulnerable group of learners. The role is strategic and not focused on individual casework. </w:t>
      </w:r>
    </w:p>
    <w:p w14:paraId="6D52BCC6" w14:textId="77777777" w:rsidR="004A2967" w:rsidRDefault="004A2967" w:rsidP="004A2967">
      <w:pPr>
        <w:pStyle w:val="Heading3"/>
        <w:numPr>
          <w:ilvl w:val="0"/>
          <w:numId w:val="0"/>
        </w:numPr>
        <w:spacing w:before="0"/>
        <w:ind w:left="720" w:hanging="720"/>
        <w:rPr>
          <w:rFonts w:ascii="Arial" w:hAnsi="Arial" w:cs="Arial"/>
          <w:b/>
          <w:bCs/>
        </w:rPr>
      </w:pPr>
    </w:p>
    <w:p w14:paraId="7500985A" w14:textId="4284D116" w:rsidR="007B0FBA" w:rsidRDefault="007B0FBA"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7B0FBA">
        <w:rPr>
          <w:rFonts w:ascii="Arial" w:hAnsi="Arial" w:cs="Arial"/>
          <w:szCs w:val="24"/>
        </w:rPr>
        <w:t xml:space="preserve">Since September 2024 Virtual School Heads have also </w:t>
      </w:r>
      <w:r w:rsidR="005334E7">
        <w:rPr>
          <w:rFonts w:ascii="Arial" w:hAnsi="Arial" w:cs="Arial"/>
          <w:szCs w:val="24"/>
        </w:rPr>
        <w:t xml:space="preserve">the </w:t>
      </w:r>
      <w:r w:rsidRPr="007B0FBA">
        <w:rPr>
          <w:rFonts w:ascii="Arial" w:hAnsi="Arial" w:cs="Arial"/>
          <w:szCs w:val="24"/>
        </w:rPr>
        <w:t>non-statutory duty to promote the educational outcomes of all children in kinship care arrangements. This involves providing strategic leadership and working with schools, colleges, and social care leaders, to champion the attendance, attainment, and progress of these children. It also involves providing information and advice, upon request, to carers and guardians, schools and colleges, and others.</w:t>
      </w:r>
      <w:r>
        <w:rPr>
          <w:rFonts w:ascii="Arial" w:hAnsi="Arial" w:cs="Arial"/>
          <w:szCs w:val="24"/>
        </w:rPr>
        <w:t xml:space="preserve"> </w:t>
      </w:r>
      <w:r w:rsidR="004A2967" w:rsidRPr="008F5B09">
        <w:rPr>
          <w:rFonts w:ascii="Arial" w:hAnsi="Arial" w:cs="Arial"/>
          <w:szCs w:val="24"/>
        </w:rPr>
        <w:t>There is dedicated</w:t>
      </w:r>
      <w:r w:rsidR="004A2967">
        <w:rPr>
          <w:rFonts w:ascii="Arial" w:hAnsi="Arial" w:cs="Arial"/>
          <w:szCs w:val="24"/>
        </w:rPr>
        <w:t xml:space="preserve"> grant</w:t>
      </w:r>
      <w:r w:rsidR="004A2967" w:rsidRPr="008F5B09">
        <w:rPr>
          <w:rFonts w:ascii="Arial" w:hAnsi="Arial" w:cs="Arial"/>
          <w:szCs w:val="24"/>
        </w:rPr>
        <w:t xml:space="preserve"> funding provided to fulfil th</w:t>
      </w:r>
      <w:r w:rsidR="004A2967">
        <w:rPr>
          <w:rFonts w:ascii="Arial" w:hAnsi="Arial" w:cs="Arial"/>
          <w:szCs w:val="24"/>
        </w:rPr>
        <w:t>e extended</w:t>
      </w:r>
      <w:r w:rsidR="004A2967" w:rsidRPr="008F5B09">
        <w:rPr>
          <w:rFonts w:ascii="Arial" w:hAnsi="Arial" w:cs="Arial"/>
          <w:szCs w:val="24"/>
        </w:rPr>
        <w:t xml:space="preserve"> duty</w:t>
      </w:r>
      <w:r w:rsidR="004A2967">
        <w:rPr>
          <w:rFonts w:ascii="Arial" w:hAnsi="Arial" w:cs="Arial"/>
          <w:szCs w:val="24"/>
        </w:rPr>
        <w:t>, including the adaptation</w:t>
      </w:r>
      <w:r w:rsidR="004A2967" w:rsidRPr="008F5B09">
        <w:rPr>
          <w:rFonts w:ascii="Arial" w:hAnsi="Arial" w:cs="Arial"/>
          <w:szCs w:val="24"/>
        </w:rPr>
        <w:t xml:space="preserve"> which has been extended</w:t>
      </w:r>
      <w:r w:rsidR="004A2967">
        <w:rPr>
          <w:rFonts w:ascii="Arial" w:hAnsi="Arial" w:cs="Arial"/>
          <w:szCs w:val="24"/>
        </w:rPr>
        <w:t xml:space="preserve"> for</w:t>
      </w:r>
      <w:r w:rsidR="004A2967" w:rsidRPr="008F5B09">
        <w:rPr>
          <w:rFonts w:ascii="Arial" w:hAnsi="Arial" w:cs="Arial"/>
          <w:szCs w:val="24"/>
        </w:rPr>
        <w:t>, 202</w:t>
      </w:r>
      <w:r w:rsidR="00624E52">
        <w:rPr>
          <w:rFonts w:ascii="Arial" w:hAnsi="Arial" w:cs="Arial"/>
          <w:szCs w:val="24"/>
        </w:rPr>
        <w:t>5</w:t>
      </w:r>
      <w:r w:rsidR="004A2967" w:rsidRPr="008F5B09">
        <w:rPr>
          <w:rFonts w:ascii="Arial" w:hAnsi="Arial" w:cs="Arial"/>
          <w:szCs w:val="24"/>
        </w:rPr>
        <w:t>-202</w:t>
      </w:r>
      <w:r w:rsidR="00624E52">
        <w:rPr>
          <w:rFonts w:ascii="Arial" w:hAnsi="Arial" w:cs="Arial"/>
          <w:szCs w:val="24"/>
        </w:rPr>
        <w:t>6</w:t>
      </w:r>
      <w:r w:rsidR="004A2967" w:rsidRPr="008F5B09">
        <w:rPr>
          <w:rFonts w:ascii="Arial" w:hAnsi="Arial" w:cs="Arial"/>
          <w:szCs w:val="24"/>
        </w:rPr>
        <w:t xml:space="preserve">. </w:t>
      </w:r>
      <w:r w:rsidR="00A92A81" w:rsidRPr="27F90AB0">
        <w:rPr>
          <w:rFonts w:ascii="Arial" w:hAnsi="Arial" w:cs="Arial"/>
          <w:szCs w:val="24"/>
        </w:rPr>
        <w:t>The Virtual School have a full-time deputy head to lead on extended duty across Hampshire</w:t>
      </w:r>
      <w:r w:rsidR="00A92A81">
        <w:rPr>
          <w:rFonts w:ascii="Arial" w:hAnsi="Arial" w:cs="Arial"/>
          <w:szCs w:val="24"/>
        </w:rPr>
        <w:t xml:space="preserve">, along with two education advisers and </w:t>
      </w:r>
      <w:r w:rsidR="0020126F">
        <w:rPr>
          <w:rFonts w:ascii="Arial" w:hAnsi="Arial" w:cs="Arial"/>
          <w:szCs w:val="24"/>
        </w:rPr>
        <w:t>an education officer.</w:t>
      </w:r>
    </w:p>
    <w:p w14:paraId="32E1AF5B" w14:textId="77777777" w:rsidR="007B0FBA" w:rsidRPr="007B0FBA" w:rsidRDefault="007B0FBA" w:rsidP="007B0FBA">
      <w:pPr>
        <w:pStyle w:val="ListParagraph"/>
        <w:rPr>
          <w:rFonts w:ascii="Arial" w:hAnsi="Arial" w:cs="Arial"/>
          <w:szCs w:val="24"/>
        </w:rPr>
      </w:pPr>
    </w:p>
    <w:p w14:paraId="713D9ED4" w14:textId="4BBCEA4F" w:rsidR="004A2967" w:rsidRDefault="006D3889"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10531A">
        <w:rPr>
          <w:rFonts w:ascii="Arial" w:hAnsi="Arial" w:cs="Arial"/>
          <w:szCs w:val="24"/>
        </w:rPr>
        <w:t>T</w:t>
      </w:r>
      <w:r w:rsidR="00624E52" w:rsidRPr="0010531A">
        <w:rPr>
          <w:rFonts w:ascii="Arial" w:hAnsi="Arial" w:cs="Arial"/>
          <w:szCs w:val="24"/>
        </w:rPr>
        <w:t>he Children’s Wellbeing</w:t>
      </w:r>
      <w:r w:rsidR="002051AE" w:rsidRPr="0010531A">
        <w:rPr>
          <w:rFonts w:ascii="Arial" w:hAnsi="Arial" w:cs="Arial"/>
          <w:szCs w:val="24"/>
        </w:rPr>
        <w:t xml:space="preserve"> and Schools</w:t>
      </w:r>
      <w:r w:rsidR="00624E52" w:rsidRPr="0010531A">
        <w:rPr>
          <w:rFonts w:ascii="Arial" w:hAnsi="Arial" w:cs="Arial"/>
          <w:szCs w:val="24"/>
        </w:rPr>
        <w:t xml:space="preserve"> Bill</w:t>
      </w:r>
      <w:r w:rsidR="002051AE" w:rsidRPr="0010531A">
        <w:rPr>
          <w:rFonts w:ascii="Arial" w:hAnsi="Arial" w:cs="Arial"/>
          <w:szCs w:val="24"/>
        </w:rPr>
        <w:t>,</w:t>
      </w:r>
      <w:r w:rsidR="002051AE">
        <w:rPr>
          <w:rFonts w:ascii="Arial" w:hAnsi="Arial" w:cs="Arial"/>
          <w:szCs w:val="24"/>
        </w:rPr>
        <w:t xml:space="preserve"> March 2025</w:t>
      </w:r>
      <w:r w:rsidR="002351A5">
        <w:rPr>
          <w:rFonts w:ascii="Arial" w:hAnsi="Arial" w:cs="Arial"/>
          <w:szCs w:val="24"/>
        </w:rPr>
        <w:t xml:space="preserve"> </w:t>
      </w:r>
      <w:r w:rsidR="0010531A">
        <w:rPr>
          <w:rFonts w:ascii="Arial" w:hAnsi="Arial" w:cs="Arial"/>
          <w:szCs w:val="24"/>
        </w:rPr>
        <w:t xml:space="preserve">proposes </w:t>
      </w:r>
      <w:r w:rsidR="002351A5" w:rsidRPr="002351A5">
        <w:rPr>
          <w:rFonts w:ascii="Arial" w:hAnsi="Arial" w:cs="Arial"/>
          <w:szCs w:val="24"/>
        </w:rPr>
        <w:t xml:space="preserve">to introduce a statutory strategic duty to promote the educational </w:t>
      </w:r>
      <w:r w:rsidR="002351A5" w:rsidRPr="002351A5">
        <w:rPr>
          <w:rFonts w:ascii="Arial" w:hAnsi="Arial" w:cs="Arial"/>
          <w:szCs w:val="24"/>
        </w:rPr>
        <w:lastRenderedPageBreak/>
        <w:t>achievement of children with a social worker and children in kinship care</w:t>
      </w:r>
      <w:r w:rsidR="0010531A">
        <w:rPr>
          <w:rFonts w:ascii="Arial" w:hAnsi="Arial" w:cs="Arial"/>
          <w:szCs w:val="24"/>
        </w:rPr>
        <w:t>.</w:t>
      </w:r>
      <w:r w:rsidR="00A04F14">
        <w:rPr>
          <w:rFonts w:ascii="Arial" w:hAnsi="Arial" w:cs="Arial"/>
          <w:szCs w:val="24"/>
        </w:rPr>
        <w:t xml:space="preserve"> If agreed this will come into force in September 2026, following consultation</w:t>
      </w:r>
      <w:r w:rsidR="00792A19">
        <w:rPr>
          <w:rFonts w:ascii="Arial" w:hAnsi="Arial" w:cs="Arial"/>
          <w:szCs w:val="24"/>
        </w:rPr>
        <w:t>.</w:t>
      </w:r>
    </w:p>
    <w:p w14:paraId="705F084D"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36413D7E" w14:textId="77777777"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The Virtual School approach to work</w:t>
      </w:r>
      <w:r>
        <w:rPr>
          <w:rFonts w:ascii="Arial" w:hAnsi="Arial" w:cs="Arial"/>
          <w:szCs w:val="24"/>
        </w:rPr>
        <w:t>ing</w:t>
      </w:r>
      <w:r w:rsidRPr="00A419BC">
        <w:rPr>
          <w:rFonts w:ascii="Arial" w:hAnsi="Arial" w:cs="Arial"/>
          <w:szCs w:val="24"/>
        </w:rPr>
        <w:t xml:space="preserve"> with children in care is to act as if they are in a single school, tracking the progress they make and supporting them to achieve as well as possible. One of the key statutory duties of the Virtual School Head is to directly manage the arrangements for the distribution of the pupil premium plus grant for children in care. This should be used without delay to meet the individual needs of children as outlined in their personal education plan</w:t>
      </w:r>
      <w:r>
        <w:rPr>
          <w:rFonts w:ascii="Arial" w:hAnsi="Arial" w:cs="Arial"/>
          <w:szCs w:val="24"/>
        </w:rPr>
        <w:t xml:space="preserve"> (PEP)</w:t>
      </w:r>
      <w:r w:rsidRPr="00A419BC">
        <w:rPr>
          <w:rFonts w:ascii="Arial" w:hAnsi="Arial" w:cs="Arial"/>
          <w:szCs w:val="24"/>
        </w:rPr>
        <w:t xml:space="preserve">. </w:t>
      </w:r>
    </w:p>
    <w:p w14:paraId="49E0203A" w14:textId="77777777" w:rsidR="004A2967" w:rsidRDefault="004A2967" w:rsidP="00620A67">
      <w:pPr>
        <w:pStyle w:val="Heading3"/>
        <w:numPr>
          <w:ilvl w:val="0"/>
          <w:numId w:val="0"/>
        </w:numPr>
        <w:spacing w:before="0"/>
        <w:rPr>
          <w:rFonts w:ascii="Arial" w:hAnsi="Arial" w:cs="Arial"/>
          <w:b/>
          <w:bCs/>
        </w:rPr>
      </w:pPr>
    </w:p>
    <w:p w14:paraId="16C4D297" w14:textId="4D23D843" w:rsidR="004A2967" w:rsidRDefault="004A2967"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B60A27">
        <w:rPr>
          <w:rFonts w:ascii="Arial" w:hAnsi="Arial" w:cs="Arial"/>
          <w:szCs w:val="24"/>
        </w:rPr>
        <w:t xml:space="preserve">Children who were previously looked after are also eligible for pupil premium plus. This is provided directly to schools </w:t>
      </w:r>
      <w:bookmarkStart w:id="9" w:name="_Int_jyMO74sJ"/>
      <w:proofErr w:type="gramStart"/>
      <w:r w:rsidRPr="00B60A27">
        <w:rPr>
          <w:rFonts w:ascii="Arial" w:hAnsi="Arial" w:cs="Arial"/>
          <w:szCs w:val="24"/>
        </w:rPr>
        <w:t>on the basis of</w:t>
      </w:r>
      <w:bookmarkEnd w:id="9"/>
      <w:proofErr w:type="gramEnd"/>
      <w:r w:rsidRPr="00B60A27">
        <w:rPr>
          <w:rFonts w:ascii="Arial" w:hAnsi="Arial" w:cs="Arial"/>
          <w:szCs w:val="24"/>
        </w:rPr>
        <w:t xml:space="preserve"> eligible pupils recorded in the October 202</w:t>
      </w:r>
      <w:r w:rsidR="00C117CD">
        <w:rPr>
          <w:rFonts w:ascii="Arial" w:hAnsi="Arial" w:cs="Arial"/>
          <w:szCs w:val="24"/>
        </w:rPr>
        <w:t>4</w:t>
      </w:r>
      <w:r w:rsidRPr="00B60A27">
        <w:rPr>
          <w:rFonts w:ascii="Arial" w:hAnsi="Arial" w:cs="Arial"/>
          <w:szCs w:val="24"/>
        </w:rPr>
        <w:t xml:space="preserve"> school census, who were both looked after by an English or Welsh local authority immediately before being adopted, or who left local authority care on a special guardianship order or child arrangements order. The Virtual School Head has no direct responsibility for the use or distribution of this grant beyond providing advice and guidance and promoting best practice. The Virtual School </w:t>
      </w:r>
      <w:r>
        <w:rPr>
          <w:rFonts w:ascii="Arial" w:hAnsi="Arial" w:cs="Arial"/>
          <w:szCs w:val="24"/>
        </w:rPr>
        <w:t xml:space="preserve">extended duties team </w:t>
      </w:r>
      <w:r w:rsidRPr="00B60A27">
        <w:rPr>
          <w:rFonts w:ascii="Arial" w:hAnsi="Arial" w:cs="Arial"/>
          <w:szCs w:val="24"/>
        </w:rPr>
        <w:t>oversee this area of work for Hampshire</w:t>
      </w:r>
      <w:r>
        <w:rPr>
          <w:rFonts w:ascii="Arial" w:hAnsi="Arial" w:cs="Arial"/>
          <w:szCs w:val="24"/>
        </w:rPr>
        <w:t>.</w:t>
      </w:r>
      <w:r w:rsidRPr="00B60A27">
        <w:rPr>
          <w:rFonts w:ascii="Arial" w:hAnsi="Arial" w:cs="Arial"/>
          <w:szCs w:val="24"/>
        </w:rPr>
        <w:t xml:space="preserve"> </w:t>
      </w:r>
    </w:p>
    <w:p w14:paraId="4912E9C2"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2E751801" w14:textId="66B7D374" w:rsidR="004A2967" w:rsidRDefault="004A2967"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Annually, in September, the Virtual School deliver</w:t>
      </w:r>
      <w:r>
        <w:rPr>
          <w:rFonts w:ascii="Arial" w:hAnsi="Arial" w:cs="Arial"/>
          <w:szCs w:val="24"/>
        </w:rPr>
        <w:t>s</w:t>
      </w:r>
      <w:r w:rsidRPr="00A419BC">
        <w:rPr>
          <w:rFonts w:ascii="Arial" w:hAnsi="Arial" w:cs="Arial"/>
          <w:szCs w:val="24"/>
        </w:rPr>
        <w:t xml:space="preserve"> a short training session to support Designated Teachers, School Business </w:t>
      </w:r>
      <w:bookmarkStart w:id="10" w:name="_Int_ScVOOcVz"/>
      <w:r w:rsidRPr="00A419BC">
        <w:rPr>
          <w:rFonts w:ascii="Arial" w:hAnsi="Arial" w:cs="Arial"/>
          <w:szCs w:val="24"/>
        </w:rPr>
        <w:t>Managers</w:t>
      </w:r>
      <w:bookmarkEnd w:id="10"/>
      <w:r w:rsidRPr="00A419BC">
        <w:rPr>
          <w:rFonts w:ascii="Arial" w:hAnsi="Arial" w:cs="Arial"/>
          <w:szCs w:val="24"/>
        </w:rPr>
        <w:t xml:space="preserve"> and other school staff to understand the process and practice around securing </w:t>
      </w:r>
      <w:r>
        <w:rPr>
          <w:rFonts w:ascii="Arial" w:hAnsi="Arial" w:cs="Arial"/>
          <w:szCs w:val="24"/>
        </w:rPr>
        <w:t>previously looked after children (</w:t>
      </w:r>
      <w:r w:rsidRPr="00A419BC">
        <w:rPr>
          <w:rFonts w:ascii="Arial" w:hAnsi="Arial" w:cs="Arial"/>
          <w:szCs w:val="24"/>
        </w:rPr>
        <w:t>PLAC</w:t>
      </w:r>
      <w:r>
        <w:rPr>
          <w:rFonts w:ascii="Arial" w:hAnsi="Arial" w:cs="Arial"/>
          <w:szCs w:val="24"/>
        </w:rPr>
        <w:t>)</w:t>
      </w:r>
      <w:r w:rsidRPr="00A419BC">
        <w:rPr>
          <w:rFonts w:ascii="Arial" w:hAnsi="Arial" w:cs="Arial"/>
          <w:szCs w:val="24"/>
        </w:rPr>
        <w:t xml:space="preserve"> Pupil Premium</w:t>
      </w:r>
      <w:r>
        <w:rPr>
          <w:rFonts w:ascii="Arial" w:hAnsi="Arial" w:cs="Arial"/>
          <w:szCs w:val="24"/>
        </w:rPr>
        <w:t xml:space="preserve"> Plus (PP+)</w:t>
      </w:r>
      <w:r w:rsidRPr="00A419BC">
        <w:rPr>
          <w:rFonts w:ascii="Arial" w:hAnsi="Arial" w:cs="Arial"/>
          <w:szCs w:val="24"/>
        </w:rPr>
        <w:t xml:space="preserve"> via the correct census recording. </w:t>
      </w:r>
      <w:r w:rsidRPr="001675F9">
        <w:rPr>
          <w:rFonts w:ascii="Arial" w:hAnsi="Arial" w:cs="Arial"/>
          <w:szCs w:val="24"/>
        </w:rPr>
        <w:t xml:space="preserve">This year there were approximately </w:t>
      </w:r>
      <w:r w:rsidR="00951FD1">
        <w:rPr>
          <w:rFonts w:ascii="Arial" w:hAnsi="Arial" w:cs="Arial"/>
          <w:szCs w:val="24"/>
        </w:rPr>
        <w:t>ninety</w:t>
      </w:r>
      <w:r w:rsidRPr="001675F9">
        <w:rPr>
          <w:rFonts w:ascii="Arial" w:hAnsi="Arial" w:cs="Arial"/>
          <w:szCs w:val="24"/>
        </w:rPr>
        <w:t>, Year 7 PLAC not recorded on the October 202</w:t>
      </w:r>
      <w:r w:rsidR="00C117CD">
        <w:rPr>
          <w:rFonts w:ascii="Arial" w:hAnsi="Arial" w:cs="Arial"/>
          <w:szCs w:val="24"/>
        </w:rPr>
        <w:t>4</w:t>
      </w:r>
      <w:r w:rsidRPr="001675F9">
        <w:rPr>
          <w:rFonts w:ascii="Arial" w:hAnsi="Arial" w:cs="Arial"/>
          <w:szCs w:val="24"/>
        </w:rPr>
        <w:t xml:space="preserve"> School Census compared to Year 6 PLAC numbers in May 202</w:t>
      </w:r>
      <w:r w:rsidR="00FC4B1D">
        <w:rPr>
          <w:rFonts w:ascii="Arial" w:hAnsi="Arial" w:cs="Arial"/>
          <w:szCs w:val="24"/>
        </w:rPr>
        <w:t>4</w:t>
      </w:r>
      <w:r w:rsidRPr="001675F9">
        <w:rPr>
          <w:rFonts w:ascii="Arial" w:hAnsi="Arial" w:cs="Arial"/>
          <w:szCs w:val="24"/>
        </w:rPr>
        <w:t>.</w:t>
      </w:r>
      <w:r w:rsidRPr="00A419BC">
        <w:rPr>
          <w:rFonts w:ascii="Arial" w:hAnsi="Arial" w:cs="Arial"/>
          <w:szCs w:val="24"/>
        </w:rPr>
        <w:t xml:space="preserve"> This means that £</w:t>
      </w:r>
      <w:r w:rsidR="00704715">
        <w:rPr>
          <w:rFonts w:ascii="Arial" w:hAnsi="Arial" w:cs="Arial"/>
          <w:szCs w:val="24"/>
        </w:rPr>
        <w:t>2630</w:t>
      </w:r>
      <w:r w:rsidRPr="00A419BC">
        <w:rPr>
          <w:rFonts w:ascii="Arial" w:hAnsi="Arial" w:cs="Arial"/>
          <w:szCs w:val="24"/>
        </w:rPr>
        <w:t xml:space="preserve"> per pupil from 1</w:t>
      </w:r>
      <w:r w:rsidRPr="00A419BC">
        <w:rPr>
          <w:rFonts w:ascii="Arial" w:hAnsi="Arial" w:cs="Arial"/>
          <w:szCs w:val="24"/>
          <w:vertAlign w:val="superscript"/>
        </w:rPr>
        <w:t>st</w:t>
      </w:r>
      <w:r w:rsidRPr="00A419BC">
        <w:rPr>
          <w:rFonts w:ascii="Arial" w:hAnsi="Arial" w:cs="Arial"/>
          <w:szCs w:val="24"/>
        </w:rPr>
        <w:t xml:space="preserve"> April 202</w:t>
      </w:r>
      <w:r w:rsidR="00C117CD">
        <w:rPr>
          <w:rFonts w:ascii="Arial" w:hAnsi="Arial" w:cs="Arial"/>
          <w:szCs w:val="24"/>
        </w:rPr>
        <w:t>5</w:t>
      </w:r>
      <w:r w:rsidRPr="00A419BC">
        <w:rPr>
          <w:rFonts w:ascii="Arial" w:hAnsi="Arial" w:cs="Arial"/>
          <w:szCs w:val="24"/>
        </w:rPr>
        <w:t xml:space="preserve"> will not be attracted to school budgets, hence a significant loss in funding for this vulnerable cohort.</w:t>
      </w:r>
      <w:r>
        <w:rPr>
          <w:rFonts w:ascii="Arial" w:hAnsi="Arial" w:cs="Arial"/>
          <w:szCs w:val="24"/>
        </w:rPr>
        <w:t xml:space="preserve"> </w:t>
      </w:r>
    </w:p>
    <w:p w14:paraId="618D69DF"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6B48C75F" w14:textId="36E64C3D" w:rsidR="00751B24" w:rsidRDefault="004A2967" w:rsidP="00751B24">
      <w:pPr>
        <w:pStyle w:val="ListParagraph"/>
        <w:numPr>
          <w:ilvl w:val="0"/>
          <w:numId w:val="23"/>
        </w:numPr>
        <w:suppressAutoHyphens/>
        <w:autoSpaceDN w:val="0"/>
        <w:spacing w:after="160" w:line="276" w:lineRule="auto"/>
        <w:textAlignment w:val="baseline"/>
        <w:rPr>
          <w:rStyle w:val="ui-provider"/>
          <w:rFonts w:ascii="Arial" w:hAnsi="Arial" w:cs="Arial"/>
          <w:szCs w:val="24"/>
        </w:rPr>
      </w:pPr>
      <w:r w:rsidRPr="00464561">
        <w:rPr>
          <w:rStyle w:val="ui-provider"/>
          <w:rFonts w:ascii="Arial" w:hAnsi="Arial" w:cs="Arial"/>
          <w:szCs w:val="24"/>
        </w:rPr>
        <w:t>Virtual School recommend that schools ask parents and guardians to get in touch, with a specific member of staff (usually the Designated Teacher), if they believe that their child meets the PLAC PP+ criteria</w:t>
      </w:r>
      <w:r>
        <w:rPr>
          <w:rStyle w:val="ui-provider"/>
          <w:rFonts w:ascii="Arial" w:hAnsi="Arial" w:cs="Arial"/>
          <w:szCs w:val="24"/>
        </w:rPr>
        <w:t xml:space="preserve"> so they can have regular education planning meetings using the Education </w:t>
      </w:r>
      <w:r w:rsidR="00704715">
        <w:rPr>
          <w:rStyle w:val="ui-provider"/>
          <w:rFonts w:ascii="Arial" w:hAnsi="Arial" w:cs="Arial"/>
          <w:szCs w:val="24"/>
        </w:rPr>
        <w:t xml:space="preserve">Support </w:t>
      </w:r>
      <w:r>
        <w:rPr>
          <w:rStyle w:val="ui-provider"/>
          <w:rFonts w:ascii="Arial" w:hAnsi="Arial" w:cs="Arial"/>
          <w:szCs w:val="24"/>
        </w:rPr>
        <w:t>Plan</w:t>
      </w:r>
      <w:r w:rsidR="00704715">
        <w:rPr>
          <w:rStyle w:val="ui-provider"/>
          <w:rFonts w:ascii="Arial" w:hAnsi="Arial" w:cs="Arial"/>
          <w:szCs w:val="24"/>
        </w:rPr>
        <w:t xml:space="preserve"> (ESP</w:t>
      </w:r>
      <w:r>
        <w:rPr>
          <w:rStyle w:val="ui-provider"/>
          <w:rFonts w:ascii="Arial" w:hAnsi="Arial" w:cs="Arial"/>
          <w:szCs w:val="24"/>
        </w:rPr>
        <w:t>) and ensure they are added to the Census to access PP+.</w:t>
      </w:r>
      <w:r w:rsidRPr="00464561">
        <w:rPr>
          <w:rStyle w:val="ui-provider"/>
          <w:rFonts w:ascii="Arial" w:hAnsi="Arial" w:cs="Arial"/>
          <w:szCs w:val="24"/>
        </w:rPr>
        <w:t xml:space="preserve"> </w:t>
      </w:r>
    </w:p>
    <w:p w14:paraId="2B8A8821" w14:textId="77777777" w:rsidR="002B5032" w:rsidRPr="002B5032" w:rsidRDefault="002B5032" w:rsidP="002B5032">
      <w:pPr>
        <w:suppressAutoHyphens/>
        <w:autoSpaceDN w:val="0"/>
        <w:spacing w:line="276" w:lineRule="auto"/>
        <w:textAlignment w:val="baseline"/>
        <w:rPr>
          <w:rStyle w:val="ui-provider"/>
          <w:rFonts w:ascii="Arial" w:hAnsi="Arial" w:cs="Arial"/>
          <w:szCs w:val="24"/>
        </w:rPr>
      </w:pPr>
    </w:p>
    <w:p w14:paraId="263C21F6" w14:textId="77777777" w:rsidR="0038233E" w:rsidRPr="0038233E" w:rsidRDefault="0038233E" w:rsidP="0038233E">
      <w:pPr>
        <w:spacing w:line="276" w:lineRule="auto"/>
        <w:ind w:right="-199"/>
        <w:rPr>
          <w:rFonts w:ascii="Arial" w:hAnsi="Arial" w:cs="Arial"/>
          <w:b/>
          <w:color w:val="000000"/>
          <w:kern w:val="3"/>
          <w:szCs w:val="24"/>
        </w:rPr>
      </w:pPr>
      <w:r w:rsidRPr="0038233E">
        <w:rPr>
          <w:rFonts w:ascii="Arial" w:hAnsi="Arial" w:cs="Arial"/>
          <w:b/>
          <w:color w:val="000000"/>
          <w:kern w:val="3"/>
          <w:szCs w:val="24"/>
        </w:rPr>
        <w:t xml:space="preserve">Pupil premium plus arrangements in Hampshire </w:t>
      </w:r>
    </w:p>
    <w:p w14:paraId="17584FE0" w14:textId="77777777" w:rsidR="004A2967" w:rsidRDefault="004A2967" w:rsidP="004A2967">
      <w:pPr>
        <w:pStyle w:val="Heading3"/>
        <w:numPr>
          <w:ilvl w:val="0"/>
          <w:numId w:val="0"/>
        </w:numPr>
        <w:spacing w:before="0"/>
        <w:ind w:left="720" w:hanging="720"/>
        <w:rPr>
          <w:rFonts w:ascii="Arial" w:hAnsi="Arial" w:cs="Arial"/>
          <w:b/>
          <w:bCs/>
        </w:rPr>
      </w:pPr>
    </w:p>
    <w:p w14:paraId="15B99761"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
          <w:color w:val="000000"/>
          <w:kern w:val="3"/>
          <w:szCs w:val="24"/>
        </w:rPr>
      </w:pPr>
      <w:r w:rsidRPr="00A419BC">
        <w:rPr>
          <w:rFonts w:ascii="Arial" w:hAnsi="Arial" w:cs="Arial"/>
          <w:szCs w:val="24"/>
        </w:rPr>
        <w:t xml:space="preserve">The statutory guidance published in April 2014 requires the Virtual School Head to directly manage the arrangements for distributing the pupil premium plus to schools on behalf of the children in care to their local </w:t>
      </w:r>
      <w:r w:rsidRPr="00A419BC">
        <w:rPr>
          <w:rFonts w:ascii="Arial" w:hAnsi="Arial" w:cs="Arial"/>
          <w:szCs w:val="24"/>
        </w:rPr>
        <w:lastRenderedPageBreak/>
        <w:t xml:space="preserve">authority. This must be undertaken in accordance with the conditions of grant published annually by the Department for Education and outlined in a written and published policy. </w:t>
      </w:r>
    </w:p>
    <w:p w14:paraId="06EED7AF"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1B75E7D0" w14:textId="2E8B5814" w:rsidR="0038233E" w:rsidRPr="00A36DD2" w:rsidRDefault="0038233E" w:rsidP="00A36DD2">
      <w:pPr>
        <w:pStyle w:val="ListParagraph"/>
        <w:numPr>
          <w:ilvl w:val="0"/>
          <w:numId w:val="23"/>
        </w:numPr>
        <w:suppressAutoHyphens/>
        <w:autoSpaceDN w:val="0"/>
        <w:spacing w:line="276" w:lineRule="auto"/>
        <w:ind w:right="-199"/>
        <w:textAlignment w:val="baseline"/>
        <w:rPr>
          <w:rFonts w:ascii="Arial" w:hAnsi="Arial" w:cs="Arial"/>
          <w:b/>
          <w:color w:val="000000"/>
          <w:kern w:val="3"/>
          <w:szCs w:val="24"/>
        </w:rPr>
      </w:pPr>
      <w:r w:rsidRPr="00A419BC">
        <w:rPr>
          <w:rFonts w:ascii="Arial" w:hAnsi="Arial" w:cs="Arial"/>
          <w:szCs w:val="24"/>
        </w:rPr>
        <w:t>The purpose of the grant is to close the attainment gap for this cohort of children and improve their educational outcomes. The guidance makes clear that it should be</w:t>
      </w:r>
      <w:r w:rsidRPr="00A419BC">
        <w:rPr>
          <w:rFonts w:ascii="Arial" w:hAnsi="Arial" w:cs="Arial"/>
          <w:color w:val="0B0C0C"/>
          <w:szCs w:val="24"/>
          <w:lang w:eastAsia="en-GB"/>
        </w:rPr>
        <w:t xml:space="preserve"> used without delay for the benefit of the child in care’s educational needs as described in their personal education plan </w:t>
      </w:r>
      <w:r w:rsidR="003B0EDB">
        <w:rPr>
          <w:rFonts w:ascii="Arial" w:hAnsi="Arial" w:cs="Arial"/>
          <w:color w:val="0B0C0C"/>
          <w:szCs w:val="24"/>
          <w:lang w:eastAsia="en-GB"/>
        </w:rPr>
        <w:t xml:space="preserve">(PEP) </w:t>
      </w:r>
      <w:r w:rsidRPr="00A419BC">
        <w:rPr>
          <w:rFonts w:ascii="Arial" w:hAnsi="Arial" w:cs="Arial"/>
          <w:color w:val="0B0C0C"/>
          <w:szCs w:val="24"/>
          <w:lang w:eastAsia="en-GB"/>
        </w:rPr>
        <w:t xml:space="preserve">and that processes for allocating funds to a child’s education setting should be as simple as possible to avoid delay. </w:t>
      </w:r>
    </w:p>
    <w:p w14:paraId="4F5A9163" w14:textId="77777777" w:rsidR="00A36DD2" w:rsidRPr="00A36DD2" w:rsidRDefault="00A36DD2" w:rsidP="00A36DD2">
      <w:pPr>
        <w:pStyle w:val="ListParagraph"/>
        <w:rPr>
          <w:rFonts w:ascii="Arial" w:hAnsi="Arial" w:cs="Arial"/>
          <w:b/>
          <w:color w:val="000000"/>
          <w:kern w:val="3"/>
          <w:szCs w:val="24"/>
        </w:rPr>
      </w:pPr>
    </w:p>
    <w:p w14:paraId="28FB64E6" w14:textId="4EB24E4A" w:rsidR="00A36DD2" w:rsidRPr="00A36DD2" w:rsidRDefault="00A36DD2" w:rsidP="0038233E">
      <w:pPr>
        <w:pStyle w:val="ListParagraph"/>
        <w:numPr>
          <w:ilvl w:val="0"/>
          <w:numId w:val="23"/>
        </w:numPr>
        <w:suppressAutoHyphens/>
        <w:autoSpaceDN w:val="0"/>
        <w:spacing w:before="60" w:line="276" w:lineRule="auto"/>
        <w:ind w:right="-199"/>
        <w:textAlignment w:val="baseline"/>
        <w:rPr>
          <w:rFonts w:ascii="Arial" w:hAnsi="Arial" w:cs="Arial"/>
          <w:color w:val="000000"/>
          <w:kern w:val="3"/>
          <w:szCs w:val="24"/>
        </w:rPr>
      </w:pPr>
      <w:r w:rsidRPr="00A36DD2">
        <w:rPr>
          <w:rFonts w:ascii="Arial" w:hAnsi="Arial" w:cs="Arial"/>
          <w:color w:val="000000"/>
          <w:kern w:val="3"/>
          <w:szCs w:val="24"/>
        </w:rPr>
        <w:t>In June 2024, the Education and Skills Funding Agency (ESFA) allocated a provisional amount of £2,630 per child to local authorities for children who were looked after for at least one day, as recorded in the March 2023 SSDA903 return, and who were aged 4 to 15 as of 31 August 2023. This allocation was updated in December 2024, based on the same data set to reflect any changes or corrections. Children in Reception (Year R) through to Year 11 are eligible for Pupil Premium Plus funding.</w:t>
      </w:r>
    </w:p>
    <w:p w14:paraId="29B8392B"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00B2D1F0" w14:textId="0197F8AD"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color w:val="0B0C0C"/>
          <w:szCs w:val="24"/>
          <w:lang w:eastAsia="en-GB"/>
        </w:rPr>
        <w:t xml:space="preserve">Local authorities may not carry forward funding held centrally into the </w:t>
      </w:r>
      <w:bookmarkStart w:id="11" w:name="_Int_fQ0dTYxK"/>
      <w:r w:rsidRPr="00A419BC">
        <w:rPr>
          <w:rFonts w:ascii="Arial" w:hAnsi="Arial" w:cs="Arial"/>
          <w:color w:val="0B0C0C"/>
          <w:szCs w:val="24"/>
          <w:lang w:eastAsia="en-GB"/>
        </w:rPr>
        <w:t>financial year</w:t>
      </w:r>
      <w:bookmarkEnd w:id="11"/>
      <w:r w:rsidRPr="00A419BC">
        <w:rPr>
          <w:rFonts w:ascii="Arial" w:hAnsi="Arial" w:cs="Arial"/>
          <w:color w:val="0B0C0C"/>
          <w:szCs w:val="24"/>
          <w:lang w:eastAsia="en-GB"/>
        </w:rPr>
        <w:t xml:space="preserve"> 202</w:t>
      </w:r>
      <w:r w:rsidR="0007305F">
        <w:rPr>
          <w:rFonts w:ascii="Arial" w:hAnsi="Arial" w:cs="Arial"/>
          <w:color w:val="0B0C0C"/>
          <w:szCs w:val="24"/>
          <w:lang w:eastAsia="en-GB"/>
        </w:rPr>
        <w:t>4</w:t>
      </w:r>
      <w:r w:rsidRPr="00A419BC">
        <w:rPr>
          <w:rFonts w:ascii="Arial" w:hAnsi="Arial" w:cs="Arial"/>
          <w:color w:val="0B0C0C"/>
          <w:szCs w:val="24"/>
          <w:lang w:eastAsia="en-GB"/>
        </w:rPr>
        <w:t xml:space="preserve"> to 202</w:t>
      </w:r>
      <w:r w:rsidR="0007305F">
        <w:rPr>
          <w:rFonts w:ascii="Arial" w:hAnsi="Arial" w:cs="Arial"/>
          <w:color w:val="0B0C0C"/>
          <w:szCs w:val="24"/>
          <w:lang w:eastAsia="en-GB"/>
        </w:rPr>
        <w:t>5</w:t>
      </w:r>
      <w:r w:rsidRPr="00A419BC">
        <w:rPr>
          <w:rFonts w:ascii="Arial" w:hAnsi="Arial" w:cs="Arial"/>
          <w:color w:val="0B0C0C"/>
          <w:szCs w:val="24"/>
          <w:lang w:eastAsia="en-GB"/>
        </w:rPr>
        <w:t>. Centrally held pupil premium plus that has not been spent, or allocated to the child’s education setting, by 31 March 202</w:t>
      </w:r>
      <w:r w:rsidR="0007305F">
        <w:rPr>
          <w:rFonts w:ascii="Arial" w:hAnsi="Arial" w:cs="Arial"/>
          <w:color w:val="0B0C0C"/>
          <w:szCs w:val="24"/>
          <w:lang w:eastAsia="en-GB"/>
        </w:rPr>
        <w:t>5</w:t>
      </w:r>
      <w:r w:rsidRPr="00A419BC">
        <w:rPr>
          <w:rFonts w:ascii="Arial" w:hAnsi="Arial" w:cs="Arial"/>
          <w:color w:val="0B0C0C"/>
          <w:szCs w:val="24"/>
          <w:lang w:eastAsia="en-GB"/>
        </w:rPr>
        <w:t xml:space="preserve"> will be recovered.</w:t>
      </w:r>
    </w:p>
    <w:p w14:paraId="3038737A"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4E1576A4" w14:textId="56AD9873"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In Hampshire, the Virtual School allocates £1,600 pupil premium plus per child to schools paid in three termly instalments for each child. £</w:t>
      </w:r>
      <w:r w:rsidR="0007305F">
        <w:rPr>
          <w:rFonts w:ascii="Arial" w:hAnsi="Arial" w:cs="Arial"/>
          <w:szCs w:val="24"/>
        </w:rPr>
        <w:t>10</w:t>
      </w:r>
      <w:r>
        <w:rPr>
          <w:rFonts w:ascii="Arial" w:hAnsi="Arial" w:cs="Arial"/>
          <w:szCs w:val="24"/>
        </w:rPr>
        <w:t>30</w:t>
      </w:r>
      <w:r w:rsidRPr="00A419BC">
        <w:rPr>
          <w:rFonts w:ascii="Arial" w:hAnsi="Arial" w:cs="Arial"/>
          <w:szCs w:val="24"/>
        </w:rPr>
        <w:t xml:space="preserve"> per child is retained to fund central services and interventions. This arrangement is broadly in line with most other local authorities.</w:t>
      </w:r>
    </w:p>
    <w:p w14:paraId="3942ADE2"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77F40344" w14:textId="3B31660B" w:rsidR="0038233E" w:rsidRPr="00751B24"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A full term’s pupil premium plus is provided, regardless of when a child was taken into care. Unlike many other local authorities, there is currently no bidding or application process required to access this funding.</w:t>
      </w:r>
    </w:p>
    <w:p w14:paraId="79BC0E15"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78EF2DFF" w14:textId="77777777" w:rsidR="0038233E" w:rsidRP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bCs/>
          <w:color w:val="000000"/>
          <w:kern w:val="3"/>
          <w:szCs w:val="24"/>
        </w:rPr>
      </w:pPr>
      <w:r w:rsidRPr="27F90AB0">
        <w:rPr>
          <w:rFonts w:ascii="Arial" w:hAnsi="Arial" w:cs="Arial"/>
          <w:szCs w:val="24"/>
        </w:rPr>
        <w:t xml:space="preserve">It should be noted that the Virtual School Head is responsible and accountable for the effective use of pupil premium plus in its entirety and not just for the portion that is centrally held. Given this, they must be assured that, whatever arrangements are in place, all the money is used for the benefit of individual looked after children’s educational needs. Where it is not possible to identify how pupil premium plus is being spent (due, for example, to a missing, </w:t>
      </w:r>
      <w:bookmarkStart w:id="12" w:name="_Int_e8sG3HpH"/>
      <w:r w:rsidRPr="27F90AB0">
        <w:rPr>
          <w:rFonts w:ascii="Arial" w:hAnsi="Arial" w:cs="Arial"/>
          <w:szCs w:val="24"/>
        </w:rPr>
        <w:t>poor quality</w:t>
      </w:r>
      <w:bookmarkEnd w:id="12"/>
      <w:r w:rsidRPr="27F90AB0">
        <w:rPr>
          <w:rFonts w:ascii="Arial" w:hAnsi="Arial" w:cs="Arial"/>
          <w:szCs w:val="24"/>
        </w:rPr>
        <w:t xml:space="preserve"> or incomplete PEP), the Virtual School can withhold the allocation of pupil premium plus. The Virtual School’s </w:t>
      </w:r>
      <w:hyperlink r:id="rId15">
        <w:r w:rsidRPr="27F90AB0">
          <w:rPr>
            <w:rStyle w:val="Hyperlink"/>
            <w:rFonts w:ascii="Arial" w:hAnsi="Arial" w:cs="Arial"/>
            <w:szCs w:val="24"/>
          </w:rPr>
          <w:t>pupil premium plus policy and guidance document</w:t>
        </w:r>
      </w:hyperlink>
      <w:r w:rsidRPr="27F90AB0">
        <w:rPr>
          <w:rFonts w:ascii="Arial" w:hAnsi="Arial" w:cs="Arial"/>
          <w:szCs w:val="24"/>
        </w:rPr>
        <w:t xml:space="preserve"> may be accessed on Hampshire Virtual School website. </w:t>
      </w:r>
    </w:p>
    <w:p w14:paraId="10B3A483"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780D6125"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 xml:space="preserve">Arrangements for allocating pupil premium plus are reviewed annually based on the analysis of the educational progress and outcomes for the children in care cohort and their presenting needs. </w:t>
      </w:r>
    </w:p>
    <w:p w14:paraId="29B0A096"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5C5AA9A9" w14:textId="367C623F"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 xml:space="preserve">For the </w:t>
      </w:r>
      <w:bookmarkStart w:id="13" w:name="_Int_xips0XmN"/>
      <w:r w:rsidRPr="00A419BC">
        <w:rPr>
          <w:rFonts w:ascii="Arial" w:hAnsi="Arial" w:cs="Arial"/>
          <w:szCs w:val="24"/>
        </w:rPr>
        <w:t>financial year</w:t>
      </w:r>
      <w:bookmarkEnd w:id="13"/>
      <w:r w:rsidRPr="00A419BC">
        <w:rPr>
          <w:rFonts w:ascii="Arial" w:hAnsi="Arial" w:cs="Arial"/>
          <w:szCs w:val="24"/>
        </w:rPr>
        <w:t xml:space="preserve"> 202</w:t>
      </w:r>
      <w:r w:rsidR="00F1104B">
        <w:rPr>
          <w:rFonts w:ascii="Arial" w:hAnsi="Arial" w:cs="Arial"/>
          <w:szCs w:val="24"/>
        </w:rPr>
        <w:t>5</w:t>
      </w:r>
      <w:r w:rsidRPr="00A419BC">
        <w:rPr>
          <w:rFonts w:ascii="Arial" w:hAnsi="Arial" w:cs="Arial"/>
          <w:szCs w:val="24"/>
        </w:rPr>
        <w:t>-2</w:t>
      </w:r>
      <w:r w:rsidR="00F1104B">
        <w:rPr>
          <w:rFonts w:ascii="Arial" w:hAnsi="Arial" w:cs="Arial"/>
          <w:szCs w:val="24"/>
        </w:rPr>
        <w:t>6</w:t>
      </w:r>
      <w:r w:rsidRPr="00A419BC">
        <w:rPr>
          <w:rFonts w:ascii="Arial" w:hAnsi="Arial" w:cs="Arial"/>
          <w:szCs w:val="24"/>
        </w:rPr>
        <w:t>, no change is planned to the existing arrangements. Pupil premium plus will continue to be allocated in termly instalments of £600 (summer term), £550 (autumn term) and £450 (spring term) to schools where a child looked after by Hampshire is on roll.</w:t>
      </w:r>
    </w:p>
    <w:p w14:paraId="7CC994B4"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27E68275" w14:textId="3B957225" w:rsidR="0038233E" w:rsidRPr="00A419BC" w:rsidRDefault="0038233E" w:rsidP="0038233E">
      <w:pPr>
        <w:spacing w:line="276" w:lineRule="auto"/>
        <w:ind w:right="-199"/>
        <w:rPr>
          <w:rFonts w:ascii="Arial" w:hAnsi="Arial" w:cs="Arial"/>
          <w:b/>
          <w:kern w:val="3"/>
          <w:szCs w:val="24"/>
        </w:rPr>
      </w:pPr>
      <w:r w:rsidRPr="00A419BC">
        <w:rPr>
          <w:rFonts w:ascii="Arial" w:hAnsi="Arial" w:cs="Arial"/>
          <w:b/>
          <w:kern w:val="3"/>
          <w:szCs w:val="24"/>
        </w:rPr>
        <w:t>Pupil premium plus 202</w:t>
      </w:r>
      <w:r w:rsidR="00F1104B">
        <w:rPr>
          <w:rFonts w:ascii="Arial" w:hAnsi="Arial" w:cs="Arial"/>
          <w:b/>
          <w:kern w:val="3"/>
          <w:szCs w:val="24"/>
        </w:rPr>
        <w:t>4</w:t>
      </w:r>
      <w:r w:rsidRPr="00A419BC">
        <w:rPr>
          <w:rFonts w:ascii="Arial" w:hAnsi="Arial" w:cs="Arial"/>
          <w:b/>
          <w:kern w:val="3"/>
          <w:szCs w:val="24"/>
        </w:rPr>
        <w:t>-2</w:t>
      </w:r>
      <w:r w:rsidR="00F1104B">
        <w:rPr>
          <w:rFonts w:ascii="Arial" w:hAnsi="Arial" w:cs="Arial"/>
          <w:b/>
          <w:kern w:val="3"/>
          <w:szCs w:val="24"/>
        </w:rPr>
        <w:t>5</w:t>
      </w:r>
      <w:r w:rsidRPr="00A419BC">
        <w:rPr>
          <w:rFonts w:ascii="Arial" w:hAnsi="Arial" w:cs="Arial"/>
          <w:b/>
          <w:kern w:val="3"/>
          <w:szCs w:val="24"/>
        </w:rPr>
        <w:t>: overview and impact</w:t>
      </w:r>
    </w:p>
    <w:p w14:paraId="679A5CC9"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700CA433"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In Hampshire, </w:t>
      </w:r>
      <w:bookmarkStart w:id="14" w:name="_Int_RIyftejn"/>
      <w:proofErr w:type="gramStart"/>
      <w:r w:rsidRPr="00A419BC">
        <w:rPr>
          <w:rFonts w:ascii="Arial" w:hAnsi="Arial" w:cs="Arial"/>
          <w:szCs w:val="24"/>
        </w:rPr>
        <w:t>the majority of</w:t>
      </w:r>
      <w:bookmarkEnd w:id="14"/>
      <w:proofErr w:type="gramEnd"/>
      <w:r w:rsidRPr="00A419BC">
        <w:rPr>
          <w:rFonts w:ascii="Arial" w:hAnsi="Arial" w:cs="Arial"/>
          <w:szCs w:val="24"/>
        </w:rPr>
        <w:t xml:space="preserve"> the pupil premium plus funding is provided directly to schools to meet individual children’s educational needs as identified and recorded in their personal education plans. The identification and assessment of need is therefore crucial to ensuring that the use of the funding is appropriately targeted and that the impact on progress and achievement can be measurable, where possible. </w:t>
      </w:r>
    </w:p>
    <w:p w14:paraId="6037F358" w14:textId="77777777" w:rsidR="0038233E" w:rsidRPr="0038233E" w:rsidRDefault="0038233E" w:rsidP="00751B24">
      <w:pPr>
        <w:suppressAutoHyphens/>
        <w:autoSpaceDN w:val="0"/>
        <w:spacing w:line="276" w:lineRule="auto"/>
        <w:ind w:right="-199"/>
        <w:textAlignment w:val="baseline"/>
        <w:rPr>
          <w:rFonts w:ascii="Arial" w:hAnsi="Arial" w:cs="Arial"/>
          <w:bCs/>
          <w:kern w:val="3"/>
          <w:szCs w:val="24"/>
        </w:rPr>
      </w:pPr>
    </w:p>
    <w:p w14:paraId="111B0638" w14:textId="1D2379B3" w:rsidR="0038233E" w:rsidRPr="00751B24"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Pr>
          <w:rFonts w:ascii="Arial" w:hAnsi="Arial" w:cs="Arial"/>
          <w:szCs w:val="24"/>
        </w:rPr>
        <w:t>Since September 2023, following the introduction of a new electronic PEP system, t</w:t>
      </w:r>
      <w:r w:rsidRPr="00A419BC">
        <w:rPr>
          <w:rFonts w:ascii="Arial" w:hAnsi="Arial" w:cs="Arial"/>
          <w:szCs w:val="24"/>
        </w:rPr>
        <w:t xml:space="preserve">he Virtual School </w:t>
      </w:r>
      <w:r>
        <w:rPr>
          <w:rFonts w:ascii="Arial" w:hAnsi="Arial" w:cs="Arial"/>
          <w:szCs w:val="24"/>
        </w:rPr>
        <w:t xml:space="preserve">has </w:t>
      </w:r>
      <w:r w:rsidRPr="00A419BC">
        <w:rPr>
          <w:rFonts w:ascii="Arial" w:hAnsi="Arial" w:cs="Arial"/>
          <w:szCs w:val="24"/>
        </w:rPr>
        <w:t>audit</w:t>
      </w:r>
      <w:r>
        <w:rPr>
          <w:rFonts w:ascii="Arial" w:hAnsi="Arial" w:cs="Arial"/>
          <w:szCs w:val="24"/>
        </w:rPr>
        <w:t>ed</w:t>
      </w:r>
      <w:r w:rsidRPr="00A419BC">
        <w:rPr>
          <w:rFonts w:ascii="Arial" w:hAnsi="Arial" w:cs="Arial"/>
          <w:szCs w:val="24"/>
        </w:rPr>
        <w:t xml:space="preserve"> </w:t>
      </w:r>
      <w:r w:rsidR="00D94AE0">
        <w:rPr>
          <w:rFonts w:ascii="Arial" w:hAnsi="Arial" w:cs="Arial"/>
          <w:szCs w:val="24"/>
        </w:rPr>
        <w:t xml:space="preserve">annually </w:t>
      </w:r>
      <w:r w:rsidRPr="00A419BC">
        <w:rPr>
          <w:rFonts w:ascii="Arial" w:hAnsi="Arial" w:cs="Arial"/>
          <w:szCs w:val="24"/>
        </w:rPr>
        <w:t xml:space="preserve">at least </w:t>
      </w:r>
      <w:r>
        <w:rPr>
          <w:rFonts w:ascii="Arial" w:hAnsi="Arial" w:cs="Arial"/>
          <w:szCs w:val="24"/>
        </w:rPr>
        <w:t>3</w:t>
      </w:r>
      <w:r w:rsidRPr="00A419BC">
        <w:rPr>
          <w:rFonts w:ascii="Arial" w:hAnsi="Arial" w:cs="Arial"/>
          <w:szCs w:val="24"/>
        </w:rPr>
        <w:t xml:space="preserve">0% of PEPs returned with a particular focus on effective needs analysis, target setting and the impact of funding and uses the outcomes to inform and improve our training programme for Designated Teachers. </w:t>
      </w:r>
      <w:r>
        <w:rPr>
          <w:rFonts w:ascii="Arial" w:hAnsi="Arial" w:cs="Arial"/>
          <w:szCs w:val="24"/>
        </w:rPr>
        <w:t>Although not each individual child’s PEP may have been audited</w:t>
      </w:r>
      <w:r w:rsidR="00F1146C">
        <w:rPr>
          <w:rFonts w:ascii="Arial" w:hAnsi="Arial" w:cs="Arial"/>
          <w:szCs w:val="24"/>
        </w:rPr>
        <w:t>,</w:t>
      </w:r>
      <w:r>
        <w:rPr>
          <w:rFonts w:ascii="Arial" w:hAnsi="Arial" w:cs="Arial"/>
          <w:szCs w:val="24"/>
        </w:rPr>
        <w:t xml:space="preserve"> the Virtual School have aimed to audit a PEP from each school to ensure the designated teacher has feedback.</w:t>
      </w:r>
    </w:p>
    <w:p w14:paraId="6B0FA3A9" w14:textId="77777777" w:rsidR="00871CE3" w:rsidRPr="00871CE3" w:rsidRDefault="00871CE3" w:rsidP="00871CE3">
      <w:pPr>
        <w:rPr>
          <w:rFonts w:ascii="Arial" w:hAnsi="Arial" w:cs="Arial"/>
          <w:szCs w:val="24"/>
        </w:rPr>
      </w:pPr>
    </w:p>
    <w:p w14:paraId="24C45B04" w14:textId="212D623D" w:rsidR="0038233E" w:rsidRPr="00871CE3" w:rsidRDefault="00871CE3"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00871CE3">
        <w:rPr>
          <w:rFonts w:ascii="Arial" w:hAnsi="Arial" w:cs="Arial"/>
          <w:szCs w:val="24"/>
        </w:rPr>
        <w:t xml:space="preserve">Since the introduction of the electronic PEP, completion rates have steadily increased. By Autumn 2024, the completion rate had risen to 93.6%, up from 77.6% in Autumn 2023. </w:t>
      </w:r>
      <w:r w:rsidR="00B478BD">
        <w:rPr>
          <w:rFonts w:ascii="Arial" w:hAnsi="Arial" w:cs="Arial"/>
          <w:szCs w:val="24"/>
        </w:rPr>
        <w:t xml:space="preserve">The return rate for </w:t>
      </w:r>
      <w:r w:rsidR="00EA249C">
        <w:rPr>
          <w:rFonts w:ascii="Arial" w:hAnsi="Arial" w:cs="Arial"/>
          <w:szCs w:val="24"/>
        </w:rPr>
        <w:t>Spring 2025 is</w:t>
      </w:r>
      <w:r w:rsidR="00253C62">
        <w:rPr>
          <w:rFonts w:ascii="Arial" w:hAnsi="Arial" w:cs="Arial"/>
          <w:szCs w:val="24"/>
        </w:rPr>
        <w:t xml:space="preserve"> </w:t>
      </w:r>
      <w:r w:rsidR="005A2457">
        <w:rPr>
          <w:rFonts w:ascii="Arial" w:hAnsi="Arial" w:cs="Arial"/>
          <w:szCs w:val="24"/>
        </w:rPr>
        <w:t>93.8%.</w:t>
      </w:r>
      <w:r w:rsidR="00EA249C">
        <w:rPr>
          <w:rFonts w:ascii="Arial" w:hAnsi="Arial" w:cs="Arial"/>
          <w:szCs w:val="24"/>
        </w:rPr>
        <w:t xml:space="preserve"> </w:t>
      </w:r>
      <w:r w:rsidRPr="00871CE3">
        <w:rPr>
          <w:rFonts w:ascii="Arial" w:hAnsi="Arial" w:cs="Arial"/>
          <w:szCs w:val="24"/>
        </w:rPr>
        <w:t>This improvement has enabled the Virtual School to more effectively monitor completed PEPs, promptly follow up with schools that have not submitted them, and provide timely, targeted feedback.</w:t>
      </w:r>
      <w:r w:rsidR="0038233E" w:rsidRPr="00871CE3">
        <w:rPr>
          <w:rFonts w:ascii="Arial" w:hAnsi="Arial" w:cs="Arial"/>
          <w:szCs w:val="24"/>
        </w:rPr>
        <w:t xml:space="preserve"> </w:t>
      </w:r>
    </w:p>
    <w:p w14:paraId="5C5E0BB0"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6A902B89" w14:textId="5F65CC0C" w:rsidR="0038233E" w:rsidRPr="00234742"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Our auditing of personal education plans indicates use of the ‘PEP Toolkit’ developed by the Virtual School supports schools to identify and understand unmet needs and areas of difficulty. The PEP Toolkit considers children’s needs across seven areas, adult or peer relationships, executive functioning, self-regulation, motivation, sense of self and language development and provides guidance on evidence-based strategies and approaches. </w:t>
      </w:r>
      <w:r w:rsidR="0087619A">
        <w:rPr>
          <w:rFonts w:ascii="Arial" w:hAnsi="Arial" w:cs="Arial"/>
          <w:szCs w:val="24"/>
        </w:rPr>
        <w:t xml:space="preserve">Virtual School updated the PEP toolkit in </w:t>
      </w:r>
      <w:r w:rsidR="002952B7">
        <w:rPr>
          <w:rFonts w:ascii="Arial" w:hAnsi="Arial" w:cs="Arial"/>
          <w:szCs w:val="24"/>
        </w:rPr>
        <w:t xml:space="preserve">2024, so it is open access on </w:t>
      </w:r>
      <w:r w:rsidR="002952B7" w:rsidRPr="002148FA">
        <w:rPr>
          <w:rFonts w:ascii="Arial" w:hAnsi="Arial" w:cs="Arial"/>
          <w:szCs w:val="24"/>
        </w:rPr>
        <w:t xml:space="preserve">the </w:t>
      </w:r>
      <w:hyperlink r:id="rId16" w:history="1">
        <w:r w:rsidR="002952B7" w:rsidRPr="002148FA">
          <w:rPr>
            <w:rStyle w:val="Hyperlink"/>
            <w:rFonts w:ascii="Arial" w:hAnsi="Arial" w:cs="Arial"/>
            <w:szCs w:val="24"/>
          </w:rPr>
          <w:t>Moodle</w:t>
        </w:r>
      </w:hyperlink>
      <w:r w:rsidR="0087619A">
        <w:rPr>
          <w:rFonts w:ascii="Arial" w:hAnsi="Arial" w:cs="Arial"/>
          <w:szCs w:val="24"/>
        </w:rPr>
        <w:t xml:space="preserve"> </w:t>
      </w:r>
      <w:r w:rsidR="002952B7">
        <w:rPr>
          <w:rFonts w:ascii="Arial" w:hAnsi="Arial" w:cs="Arial"/>
          <w:szCs w:val="24"/>
        </w:rPr>
        <w:t xml:space="preserve">and divided into the seven areas </w:t>
      </w:r>
      <w:r w:rsidR="002952B7">
        <w:rPr>
          <w:rFonts w:ascii="Arial" w:hAnsi="Arial" w:cs="Arial"/>
          <w:szCs w:val="24"/>
        </w:rPr>
        <w:lastRenderedPageBreak/>
        <w:t>with supportive material</w:t>
      </w:r>
      <w:r w:rsidR="00D632DE">
        <w:rPr>
          <w:rFonts w:ascii="Arial" w:hAnsi="Arial" w:cs="Arial"/>
          <w:szCs w:val="24"/>
        </w:rPr>
        <w:t>s, including a PowerPoint presentation with commentary by an educational psychologist to make it more accessible.</w:t>
      </w:r>
    </w:p>
    <w:p w14:paraId="70E05E57"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139D1BC9" w14:textId="59E35BB5" w:rsidR="0038233E" w:rsidRPr="00EB7E96" w:rsidRDefault="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EB7E96">
        <w:rPr>
          <w:rFonts w:ascii="Arial" w:hAnsi="Arial" w:cs="Arial"/>
          <w:kern w:val="3"/>
          <w:szCs w:val="24"/>
        </w:rPr>
        <w:t xml:space="preserve">Additionally, since September 2023 the Virtual School have purchased an APP called Reach2Teach that can be accessed via the PEP </w:t>
      </w:r>
      <w:r w:rsidR="00BF114A">
        <w:rPr>
          <w:rFonts w:ascii="Arial" w:hAnsi="Arial" w:cs="Arial"/>
          <w:kern w:val="3"/>
          <w:szCs w:val="24"/>
        </w:rPr>
        <w:t>and</w:t>
      </w:r>
      <w:r w:rsidRPr="00EB7E96">
        <w:rPr>
          <w:rFonts w:ascii="Arial" w:hAnsi="Arial" w:cs="Arial"/>
          <w:kern w:val="3"/>
          <w:szCs w:val="24"/>
        </w:rPr>
        <w:t xml:space="preserve"> is a needs analysis tool that can support target setting within the PEP.  </w:t>
      </w:r>
      <w:r w:rsidR="00EB7E96" w:rsidRPr="00EB7E96">
        <w:rPr>
          <w:rFonts w:ascii="Arial" w:hAnsi="Arial" w:cs="Arial"/>
          <w:kern w:val="3"/>
          <w:szCs w:val="24"/>
        </w:rPr>
        <w:t>While not all schools have children in care from Hampshire, many may have previously looked-after children</w:t>
      </w:r>
      <w:r w:rsidR="00526D3F">
        <w:rPr>
          <w:rFonts w:ascii="Arial" w:hAnsi="Arial" w:cs="Arial"/>
          <w:kern w:val="3"/>
          <w:szCs w:val="24"/>
        </w:rPr>
        <w:t xml:space="preserve">, </w:t>
      </w:r>
      <w:r w:rsidR="00EB7E96" w:rsidRPr="00EB7E96">
        <w:rPr>
          <w:rFonts w:ascii="Arial" w:hAnsi="Arial" w:cs="Arial"/>
          <w:kern w:val="3"/>
          <w:szCs w:val="24"/>
        </w:rPr>
        <w:t>those with a social worker</w:t>
      </w:r>
      <w:r w:rsidR="00526D3F">
        <w:rPr>
          <w:rFonts w:ascii="Arial" w:hAnsi="Arial" w:cs="Arial"/>
          <w:kern w:val="3"/>
          <w:szCs w:val="24"/>
        </w:rPr>
        <w:t xml:space="preserve"> or in kinship arrangements</w:t>
      </w:r>
      <w:r w:rsidR="00EB7E96" w:rsidRPr="00EB7E96">
        <w:rPr>
          <w:rFonts w:ascii="Arial" w:hAnsi="Arial" w:cs="Arial"/>
          <w:kern w:val="3"/>
          <w:szCs w:val="24"/>
        </w:rPr>
        <w:t xml:space="preserve">. The APP is accessible to </w:t>
      </w:r>
      <w:r w:rsidR="00526D3F">
        <w:rPr>
          <w:rFonts w:ascii="Arial" w:hAnsi="Arial" w:cs="Arial"/>
          <w:kern w:val="3"/>
          <w:szCs w:val="24"/>
        </w:rPr>
        <w:t xml:space="preserve">all </w:t>
      </w:r>
      <w:r w:rsidR="00EB7E96" w:rsidRPr="00EB7E96">
        <w:rPr>
          <w:rFonts w:ascii="Arial" w:hAnsi="Arial" w:cs="Arial"/>
          <w:kern w:val="3"/>
          <w:szCs w:val="24"/>
        </w:rPr>
        <w:t xml:space="preserve">designated teachers, </w:t>
      </w:r>
      <w:r w:rsidR="00526D3F">
        <w:rPr>
          <w:rFonts w:ascii="Arial" w:hAnsi="Arial" w:cs="Arial"/>
          <w:kern w:val="3"/>
          <w:szCs w:val="24"/>
        </w:rPr>
        <w:t xml:space="preserve">so if they haven’t access </w:t>
      </w:r>
      <w:r w:rsidR="00874E18">
        <w:rPr>
          <w:rFonts w:ascii="Arial" w:hAnsi="Arial" w:cs="Arial"/>
          <w:kern w:val="3"/>
          <w:szCs w:val="24"/>
        </w:rPr>
        <w:t xml:space="preserve">through the </w:t>
      </w:r>
      <w:proofErr w:type="gramStart"/>
      <w:r w:rsidR="00874E18">
        <w:rPr>
          <w:rFonts w:ascii="Arial" w:hAnsi="Arial" w:cs="Arial"/>
          <w:kern w:val="3"/>
          <w:szCs w:val="24"/>
        </w:rPr>
        <w:t>PEP</w:t>
      </w:r>
      <w:proofErr w:type="gramEnd"/>
      <w:r w:rsidR="00874E18">
        <w:rPr>
          <w:rFonts w:ascii="Arial" w:hAnsi="Arial" w:cs="Arial"/>
          <w:kern w:val="3"/>
          <w:szCs w:val="24"/>
        </w:rPr>
        <w:t xml:space="preserve"> they </w:t>
      </w:r>
      <w:r w:rsidR="00EB7E96" w:rsidRPr="00EB7E96">
        <w:rPr>
          <w:rFonts w:ascii="Arial" w:hAnsi="Arial" w:cs="Arial"/>
          <w:kern w:val="3"/>
          <w:szCs w:val="24"/>
        </w:rPr>
        <w:t>should contact the Virtual School inbox for login details.</w:t>
      </w:r>
    </w:p>
    <w:p w14:paraId="26B26CE4" w14:textId="77777777" w:rsidR="00EB7E96" w:rsidRPr="00EB7E96" w:rsidRDefault="00EB7E96" w:rsidP="00EB7E96">
      <w:pPr>
        <w:suppressAutoHyphens/>
        <w:autoSpaceDN w:val="0"/>
        <w:spacing w:line="276" w:lineRule="auto"/>
        <w:ind w:right="-199"/>
        <w:textAlignment w:val="baseline"/>
        <w:rPr>
          <w:rFonts w:ascii="Arial" w:hAnsi="Arial" w:cs="Arial"/>
          <w:bCs/>
          <w:kern w:val="3"/>
          <w:szCs w:val="24"/>
        </w:rPr>
      </w:pPr>
    </w:p>
    <w:p w14:paraId="1929A3F4" w14:textId="77777777" w:rsidR="0038233E" w:rsidRPr="00432BDE"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00432BDE">
        <w:rPr>
          <w:rFonts w:ascii="Arial" w:hAnsi="Arial" w:cs="Arial"/>
          <w:szCs w:val="24"/>
        </w:rPr>
        <w:t xml:space="preserve">Given that the use of the funding is most effectively used to target specific areas of need for individual children, it is not possible to provide an exhaustive list of the interventions and strategies that schools have used successfully. For example, circle of friends, peer mentoring or multi-sensory work may be more appropriate than specialist subject 1:1 tutoring for some children. </w:t>
      </w:r>
    </w:p>
    <w:p w14:paraId="128BD2FB" w14:textId="77777777" w:rsidR="0038233E" w:rsidRDefault="0038233E" w:rsidP="00751B24">
      <w:pPr>
        <w:suppressAutoHyphens/>
        <w:autoSpaceDN w:val="0"/>
        <w:spacing w:line="276" w:lineRule="auto"/>
        <w:ind w:right="-199"/>
        <w:textAlignment w:val="baseline"/>
        <w:rPr>
          <w:rFonts w:ascii="Arial" w:hAnsi="Arial" w:cs="Arial"/>
          <w:bCs/>
          <w:kern w:val="3"/>
          <w:szCs w:val="24"/>
        </w:rPr>
      </w:pPr>
    </w:p>
    <w:p w14:paraId="03CCA449"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centrally retained pupil premium funding is managed directly by the Virtual School. The governance of the operational and strategic work of the Virtual School is provided by the Education and Inclusion Branch led by the Assistant Director, </w:t>
      </w:r>
      <w:bookmarkStart w:id="15" w:name="_Int_1aEtG52o"/>
      <w:r w:rsidRPr="00A419BC">
        <w:rPr>
          <w:rFonts w:ascii="Arial" w:hAnsi="Arial" w:cs="Arial"/>
          <w:szCs w:val="24"/>
        </w:rPr>
        <w:t>Education</w:t>
      </w:r>
      <w:bookmarkEnd w:id="15"/>
      <w:r w:rsidRPr="00A419BC">
        <w:rPr>
          <w:rFonts w:ascii="Arial" w:hAnsi="Arial" w:cs="Arial"/>
          <w:szCs w:val="24"/>
        </w:rPr>
        <w:t xml:space="preserve"> and Inclusion. The Virtual School Head is required to produce an annual report and regular updates to the Corporate Parenting Board which includes elected members and senior leaders across Hampshire.</w:t>
      </w:r>
      <w:r>
        <w:rPr>
          <w:rFonts w:ascii="Arial" w:hAnsi="Arial" w:cs="Arial"/>
          <w:szCs w:val="24"/>
        </w:rPr>
        <w:t xml:space="preserve"> Additionally, Virtual School has an Advisory Board which meets once a term and is chaired by the Assistant Director.</w:t>
      </w:r>
    </w:p>
    <w:p w14:paraId="5A4E2ACB"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61C99640" w14:textId="77777777" w:rsidR="0038233E" w:rsidRPr="00F149E8"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A419BC">
        <w:rPr>
          <w:rFonts w:ascii="Arial" w:hAnsi="Arial" w:cs="Arial"/>
          <w:kern w:val="3"/>
          <w:szCs w:val="24"/>
        </w:rPr>
        <w:t xml:space="preserve">The following provides a broad overview of the use and impact of the pupil premium plus held centrally within Hampshire. This is organised into three </w:t>
      </w:r>
      <w:bookmarkStart w:id="16" w:name="_Int_o5Kl0Mje"/>
      <w:r w:rsidRPr="00A419BC">
        <w:rPr>
          <w:rFonts w:ascii="Arial" w:hAnsi="Arial" w:cs="Arial"/>
          <w:kern w:val="3"/>
          <w:szCs w:val="24"/>
        </w:rPr>
        <w:t xml:space="preserve">main </w:t>
      </w:r>
      <w:proofErr w:type="gramStart"/>
      <w:r w:rsidRPr="00A419BC">
        <w:rPr>
          <w:rFonts w:ascii="Arial" w:hAnsi="Arial" w:cs="Arial"/>
          <w:kern w:val="3"/>
          <w:szCs w:val="24"/>
        </w:rPr>
        <w:t>area</w:t>
      </w:r>
      <w:r>
        <w:rPr>
          <w:rFonts w:ascii="Arial" w:hAnsi="Arial" w:cs="Arial"/>
          <w:kern w:val="3"/>
          <w:szCs w:val="24"/>
        </w:rPr>
        <w:t>s</w:t>
      </w:r>
      <w:bookmarkEnd w:id="16"/>
      <w:r>
        <w:rPr>
          <w:rFonts w:ascii="Arial" w:hAnsi="Arial" w:cs="Arial"/>
          <w:kern w:val="3"/>
          <w:szCs w:val="24"/>
        </w:rPr>
        <w:t>;</w:t>
      </w:r>
      <w:proofErr w:type="gramEnd"/>
    </w:p>
    <w:p w14:paraId="0D95FE14" w14:textId="77777777" w:rsidR="0038233E" w:rsidRDefault="0038233E" w:rsidP="0038233E">
      <w:pPr>
        <w:spacing w:before="60" w:line="276" w:lineRule="auto"/>
        <w:ind w:right="-199" w:firstLine="567"/>
        <w:rPr>
          <w:rFonts w:ascii="Arial" w:hAnsi="Arial" w:cs="Arial"/>
          <w:kern w:val="3"/>
          <w:szCs w:val="24"/>
        </w:rPr>
      </w:pPr>
      <w:r w:rsidRPr="00F149E8">
        <w:rPr>
          <w:rFonts w:ascii="Arial" w:hAnsi="Arial" w:cs="Arial"/>
          <w:kern w:val="3"/>
          <w:szCs w:val="24"/>
        </w:rPr>
        <w:t xml:space="preserve">a) the Virtual School </w:t>
      </w:r>
      <w:bookmarkStart w:id="17" w:name="_Int_vu9RGuZO"/>
      <w:r w:rsidRPr="00F149E8">
        <w:rPr>
          <w:rFonts w:ascii="Arial" w:hAnsi="Arial" w:cs="Arial"/>
          <w:kern w:val="3"/>
          <w:szCs w:val="24"/>
        </w:rPr>
        <w:t>team</w:t>
      </w:r>
      <w:bookmarkEnd w:id="17"/>
    </w:p>
    <w:p w14:paraId="4E40FD29" w14:textId="77777777" w:rsidR="0038233E" w:rsidRDefault="0038233E" w:rsidP="0038233E">
      <w:pPr>
        <w:spacing w:before="60" w:line="276" w:lineRule="auto"/>
        <w:ind w:right="-199" w:firstLine="567"/>
        <w:rPr>
          <w:rFonts w:ascii="Arial" w:hAnsi="Arial" w:cs="Arial"/>
          <w:kern w:val="3"/>
          <w:szCs w:val="24"/>
        </w:rPr>
      </w:pPr>
      <w:r w:rsidRPr="00F149E8">
        <w:rPr>
          <w:rFonts w:ascii="Arial" w:hAnsi="Arial" w:cs="Arial"/>
          <w:kern w:val="3"/>
          <w:szCs w:val="24"/>
        </w:rPr>
        <w:t xml:space="preserve">b) training and capacity building </w:t>
      </w:r>
    </w:p>
    <w:p w14:paraId="2E3CFB11" w14:textId="77777777" w:rsidR="0038233E" w:rsidRDefault="0038233E" w:rsidP="0038233E">
      <w:pPr>
        <w:spacing w:before="60" w:line="276" w:lineRule="auto"/>
        <w:ind w:right="-199" w:firstLine="567"/>
        <w:rPr>
          <w:rFonts w:ascii="Arial" w:hAnsi="Arial" w:cs="Arial"/>
          <w:kern w:val="3"/>
          <w:szCs w:val="24"/>
        </w:rPr>
      </w:pPr>
      <w:r>
        <w:rPr>
          <w:rFonts w:ascii="Arial" w:hAnsi="Arial" w:cs="Arial"/>
          <w:kern w:val="3"/>
          <w:szCs w:val="24"/>
        </w:rPr>
        <w:t xml:space="preserve">c) </w:t>
      </w:r>
      <w:r w:rsidRPr="00F149E8">
        <w:rPr>
          <w:rFonts w:ascii="Arial" w:hAnsi="Arial" w:cs="Arial"/>
          <w:kern w:val="3"/>
          <w:szCs w:val="24"/>
        </w:rPr>
        <w:t xml:space="preserve">partnership working. </w:t>
      </w:r>
    </w:p>
    <w:p w14:paraId="7478879A" w14:textId="77777777" w:rsidR="0038233E" w:rsidRDefault="0038233E" w:rsidP="0038233E">
      <w:pPr>
        <w:spacing w:before="60" w:line="276" w:lineRule="auto"/>
        <w:ind w:left="567" w:right="-199"/>
        <w:rPr>
          <w:rFonts w:ascii="Arial" w:hAnsi="Arial" w:cs="Arial"/>
          <w:kern w:val="3"/>
          <w:szCs w:val="24"/>
        </w:rPr>
      </w:pPr>
      <w:r w:rsidRPr="00F149E8">
        <w:rPr>
          <w:rFonts w:ascii="Arial" w:hAnsi="Arial" w:cs="Arial"/>
          <w:kern w:val="3"/>
          <w:szCs w:val="24"/>
        </w:rPr>
        <w:t>Our work in these three areas makes a significant difference to the educational experiences and outcomes of Hampshire’s children in care and the key adults in their lives.</w:t>
      </w:r>
    </w:p>
    <w:p w14:paraId="6E1C1A82" w14:textId="77777777" w:rsidR="0038233E" w:rsidRDefault="0038233E" w:rsidP="0038233E">
      <w:pPr>
        <w:spacing w:before="60" w:line="276" w:lineRule="auto"/>
        <w:ind w:left="567" w:right="-199"/>
        <w:rPr>
          <w:rFonts w:ascii="Arial" w:hAnsi="Arial" w:cs="Arial"/>
          <w:kern w:val="3"/>
          <w:szCs w:val="24"/>
        </w:rPr>
      </w:pPr>
    </w:p>
    <w:p w14:paraId="56FFB6F1" w14:textId="77777777" w:rsidR="0038233E" w:rsidRPr="008F5B09" w:rsidRDefault="0038233E" w:rsidP="0038233E">
      <w:pPr>
        <w:spacing w:line="276" w:lineRule="auto"/>
        <w:ind w:right="-199"/>
        <w:rPr>
          <w:rFonts w:ascii="Arial" w:hAnsi="Arial" w:cs="Arial"/>
          <w:b/>
          <w:kern w:val="3"/>
          <w:szCs w:val="24"/>
        </w:rPr>
      </w:pPr>
      <w:r w:rsidRPr="008F5B09">
        <w:rPr>
          <w:rFonts w:ascii="Arial" w:hAnsi="Arial" w:cs="Arial"/>
          <w:b/>
          <w:kern w:val="3"/>
          <w:szCs w:val="24"/>
        </w:rPr>
        <w:t>Virtual School Team</w:t>
      </w:r>
    </w:p>
    <w:p w14:paraId="5DCB109C" w14:textId="77777777" w:rsidR="0038233E" w:rsidRDefault="0038233E" w:rsidP="0038233E">
      <w:pPr>
        <w:spacing w:before="60" w:line="276" w:lineRule="auto"/>
        <w:ind w:left="567" w:right="-199"/>
        <w:rPr>
          <w:rFonts w:ascii="Arial" w:hAnsi="Arial" w:cs="Arial"/>
          <w:bCs/>
          <w:kern w:val="3"/>
          <w:szCs w:val="24"/>
        </w:rPr>
      </w:pPr>
    </w:p>
    <w:p w14:paraId="381081BA" w14:textId="28EB4A8D"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Virtual School Management Team consists of the Virtual </w:t>
      </w:r>
      <w:r>
        <w:rPr>
          <w:rFonts w:ascii="Arial" w:hAnsi="Arial" w:cs="Arial"/>
          <w:szCs w:val="24"/>
        </w:rPr>
        <w:t xml:space="preserve">School </w:t>
      </w:r>
      <w:r w:rsidRPr="00A419BC">
        <w:rPr>
          <w:rFonts w:ascii="Arial" w:hAnsi="Arial" w:cs="Arial"/>
          <w:szCs w:val="24"/>
        </w:rPr>
        <w:t xml:space="preserve">Headteacher, 1 </w:t>
      </w:r>
      <w:r w:rsidR="00B21358" w:rsidRPr="004760D4">
        <w:rPr>
          <w:rFonts w:ascii="Arial" w:hAnsi="Arial" w:cs="Arial"/>
          <w:kern w:val="3"/>
          <w:szCs w:val="24"/>
        </w:rPr>
        <w:t xml:space="preserve">full-time equivalent </w:t>
      </w:r>
      <w:r w:rsidR="00B21358">
        <w:rPr>
          <w:rFonts w:ascii="Arial" w:hAnsi="Arial" w:cs="Arial"/>
          <w:kern w:val="3"/>
          <w:szCs w:val="24"/>
        </w:rPr>
        <w:t>(</w:t>
      </w:r>
      <w:r w:rsidRPr="00A419BC">
        <w:rPr>
          <w:rFonts w:ascii="Arial" w:hAnsi="Arial" w:cs="Arial"/>
          <w:szCs w:val="24"/>
        </w:rPr>
        <w:t>FTE</w:t>
      </w:r>
      <w:r w:rsidR="00B21358">
        <w:rPr>
          <w:rFonts w:ascii="Arial" w:hAnsi="Arial" w:cs="Arial"/>
          <w:szCs w:val="24"/>
        </w:rPr>
        <w:t>)</w:t>
      </w:r>
      <w:r w:rsidRPr="00A419BC">
        <w:rPr>
          <w:rFonts w:ascii="Arial" w:hAnsi="Arial" w:cs="Arial"/>
          <w:szCs w:val="24"/>
        </w:rPr>
        <w:t xml:space="preserve"> Deputy Head for children in </w:t>
      </w:r>
      <w:r w:rsidRPr="00A419BC">
        <w:rPr>
          <w:rFonts w:ascii="Arial" w:hAnsi="Arial" w:cs="Arial"/>
          <w:szCs w:val="24"/>
        </w:rPr>
        <w:lastRenderedPageBreak/>
        <w:t xml:space="preserve">care, 1 FTE Deputy Head for </w:t>
      </w:r>
      <w:r>
        <w:rPr>
          <w:rFonts w:ascii="Arial" w:hAnsi="Arial" w:cs="Arial"/>
          <w:szCs w:val="24"/>
        </w:rPr>
        <w:t xml:space="preserve">extended duties </w:t>
      </w:r>
      <w:r w:rsidRPr="00A419BC">
        <w:rPr>
          <w:rFonts w:ascii="Arial" w:hAnsi="Arial" w:cs="Arial"/>
          <w:szCs w:val="24"/>
        </w:rPr>
        <w:t>(CWSW</w:t>
      </w:r>
      <w:r>
        <w:rPr>
          <w:rFonts w:ascii="Arial" w:hAnsi="Arial" w:cs="Arial"/>
          <w:szCs w:val="24"/>
        </w:rPr>
        <w:t>, PLAC and Kinship Care</w:t>
      </w:r>
      <w:r w:rsidRPr="00A419BC">
        <w:rPr>
          <w:rFonts w:ascii="Arial" w:hAnsi="Arial" w:cs="Arial"/>
          <w:szCs w:val="24"/>
        </w:rPr>
        <w:t xml:space="preserve">) and </w:t>
      </w:r>
      <w:r w:rsidR="00B21358">
        <w:rPr>
          <w:rFonts w:ascii="Arial" w:hAnsi="Arial" w:cs="Arial"/>
          <w:szCs w:val="24"/>
        </w:rPr>
        <w:t>6.8</w:t>
      </w:r>
      <w:r w:rsidRPr="00DD5EAB">
        <w:rPr>
          <w:rFonts w:ascii="Arial" w:hAnsi="Arial" w:cs="Arial"/>
          <w:szCs w:val="24"/>
        </w:rPr>
        <w:t xml:space="preserve"> FTE</w:t>
      </w:r>
      <w:r w:rsidRPr="00A419BC">
        <w:rPr>
          <w:rFonts w:ascii="Arial" w:hAnsi="Arial" w:cs="Arial"/>
          <w:szCs w:val="24"/>
        </w:rPr>
        <w:t xml:space="preserve"> Education Advisors, including </w:t>
      </w:r>
      <w:r w:rsidR="00EB7E96">
        <w:rPr>
          <w:rFonts w:ascii="Arial" w:hAnsi="Arial" w:cs="Arial"/>
          <w:szCs w:val="24"/>
        </w:rPr>
        <w:t xml:space="preserve">two </w:t>
      </w:r>
      <w:r w:rsidRPr="00A419BC">
        <w:rPr>
          <w:rFonts w:ascii="Arial" w:hAnsi="Arial" w:cs="Arial"/>
          <w:szCs w:val="24"/>
        </w:rPr>
        <w:t>with responsibility for</w:t>
      </w:r>
      <w:r>
        <w:rPr>
          <w:rFonts w:ascii="Arial" w:hAnsi="Arial" w:cs="Arial"/>
          <w:szCs w:val="24"/>
        </w:rPr>
        <w:t xml:space="preserve"> extended duties</w:t>
      </w:r>
      <w:r w:rsidRPr="00A419BC">
        <w:rPr>
          <w:rFonts w:ascii="Arial" w:hAnsi="Arial" w:cs="Arial"/>
          <w:szCs w:val="24"/>
        </w:rPr>
        <w:t>. The Education Advisors lead on delivering a full</w:t>
      </w:r>
      <w:r w:rsidR="003B7712">
        <w:rPr>
          <w:rFonts w:ascii="Arial" w:hAnsi="Arial" w:cs="Arial"/>
          <w:szCs w:val="24"/>
        </w:rPr>
        <w:t xml:space="preserve"> </w:t>
      </w:r>
      <w:r w:rsidRPr="00A419BC">
        <w:rPr>
          <w:rFonts w:ascii="Arial" w:hAnsi="Arial" w:cs="Arial"/>
          <w:szCs w:val="24"/>
        </w:rPr>
        <w:t xml:space="preserve">programme of training and support to designated teachers, social workers and foster carers which focuses on their vital role in promoting education. </w:t>
      </w:r>
      <w:r w:rsidRPr="00A419BC">
        <w:rPr>
          <w:rFonts w:ascii="Arial" w:hAnsi="Arial" w:cs="Arial"/>
          <w:bCs/>
          <w:kern w:val="3"/>
          <w:szCs w:val="24"/>
        </w:rPr>
        <w:t xml:space="preserve">The Education Advisors also lead on ‘Corporate Parent’ visits to schools in their respective districts, ensuring that designated teachers are supported, guided, and challenged so they can meet the individual needs of children in care and fulfil their statutory role. </w:t>
      </w:r>
    </w:p>
    <w:p w14:paraId="0B79AECD" w14:textId="77777777" w:rsidR="004760D4" w:rsidRPr="004760D4" w:rsidRDefault="004760D4" w:rsidP="004760D4">
      <w:pPr>
        <w:rPr>
          <w:rFonts w:ascii="Arial" w:hAnsi="Arial" w:cs="Arial"/>
          <w:kern w:val="3"/>
          <w:szCs w:val="24"/>
        </w:rPr>
      </w:pPr>
    </w:p>
    <w:p w14:paraId="549C4E6E" w14:textId="65425B9A" w:rsidR="004760D4" w:rsidRPr="004760D4" w:rsidRDefault="004760D4"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004760D4">
        <w:rPr>
          <w:rFonts w:ascii="Arial" w:hAnsi="Arial" w:cs="Arial"/>
          <w:kern w:val="3"/>
          <w:szCs w:val="24"/>
        </w:rPr>
        <w:t xml:space="preserve">The team of </w:t>
      </w:r>
      <w:r w:rsidR="00E2545D">
        <w:rPr>
          <w:rFonts w:ascii="Arial" w:hAnsi="Arial" w:cs="Arial"/>
          <w:kern w:val="3"/>
          <w:szCs w:val="24"/>
        </w:rPr>
        <w:t>3 FTE</w:t>
      </w:r>
      <w:r w:rsidRPr="004760D4">
        <w:rPr>
          <w:rFonts w:ascii="Arial" w:hAnsi="Arial" w:cs="Arial"/>
          <w:kern w:val="3"/>
          <w:szCs w:val="24"/>
        </w:rPr>
        <w:t xml:space="preserve"> Education Officers and </w:t>
      </w:r>
      <w:r w:rsidR="00E2545D">
        <w:rPr>
          <w:rFonts w:ascii="Arial" w:hAnsi="Arial" w:cs="Arial"/>
          <w:kern w:val="3"/>
          <w:szCs w:val="24"/>
        </w:rPr>
        <w:t>10 FTE</w:t>
      </w:r>
      <w:r w:rsidRPr="004760D4">
        <w:rPr>
          <w:rFonts w:ascii="Arial" w:hAnsi="Arial" w:cs="Arial"/>
          <w:kern w:val="3"/>
          <w:szCs w:val="24"/>
        </w:rPr>
        <w:t xml:space="preserve"> Education Liaison Officers lead on individual cases. They work closely with social care colleagues to support prompt school admissions and to</w:t>
      </w:r>
      <w:r w:rsidR="003B7712">
        <w:rPr>
          <w:rFonts w:ascii="Arial" w:hAnsi="Arial" w:cs="Arial"/>
          <w:kern w:val="3"/>
          <w:szCs w:val="24"/>
        </w:rPr>
        <w:t xml:space="preserve"> maintain educational </w:t>
      </w:r>
      <w:r w:rsidRPr="004760D4">
        <w:rPr>
          <w:rFonts w:ascii="Arial" w:hAnsi="Arial" w:cs="Arial"/>
          <w:kern w:val="3"/>
          <w:szCs w:val="24"/>
        </w:rPr>
        <w:t xml:space="preserve">stability for each child. There is a strong and consistent focus on monitoring attendance patterns, identifying children at risk of fixed-term exclusion, and supporting those facing challenges in school or during transitions. The team is committed to minimising the time any child spends out of education, particularly during changes in care </w:t>
      </w:r>
      <w:r w:rsidR="003B7712">
        <w:rPr>
          <w:rFonts w:ascii="Arial" w:hAnsi="Arial" w:cs="Arial"/>
          <w:kern w:val="3"/>
          <w:szCs w:val="24"/>
        </w:rPr>
        <w:t xml:space="preserve">placements. </w:t>
      </w:r>
      <w:r w:rsidRPr="004760D4">
        <w:rPr>
          <w:rFonts w:ascii="Arial" w:hAnsi="Arial" w:cs="Arial"/>
          <w:kern w:val="3"/>
          <w:szCs w:val="24"/>
        </w:rPr>
        <w:t> The Education Liaison Officers, funded through the Pupil Premium retained by the Virtual School, have had a significant impact. This, combined with the introduction of the electronic PEP system, has enabled staff to track attendance more effectively and to quickly follow up with schools where abnormal attendance codes are recorded.</w:t>
      </w:r>
    </w:p>
    <w:p w14:paraId="4DAB51FB" w14:textId="77777777" w:rsidR="0038233E" w:rsidRDefault="0038233E" w:rsidP="0038233E">
      <w:pPr>
        <w:spacing w:before="60" w:line="276" w:lineRule="auto"/>
        <w:ind w:right="-199"/>
        <w:rPr>
          <w:rFonts w:ascii="Arial" w:hAnsi="Arial" w:cs="Arial"/>
          <w:bCs/>
          <w:kern w:val="3"/>
          <w:szCs w:val="24"/>
        </w:rPr>
      </w:pPr>
    </w:p>
    <w:p w14:paraId="637638A4" w14:textId="77777777" w:rsid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A419BC">
        <w:rPr>
          <w:rFonts w:ascii="Arial" w:hAnsi="Arial" w:cs="Arial"/>
          <w:bCs/>
          <w:kern w:val="3"/>
          <w:szCs w:val="24"/>
        </w:rPr>
        <w:t xml:space="preserve">Although increasing in size, the Virtual School team is still small relative to the size of the cohort of children in care in Hampshire and so building and strengthening capacity is our predominant approach. Given this, the development of strong and credible relationships and ensuring that communication and key systems and processes work effectively across the wide network are important tasks for the Virtual School team. This work is driven forward by the dedicated partnership working of the Education Officers, Education </w:t>
      </w:r>
      <w:r>
        <w:rPr>
          <w:rFonts w:ascii="Arial" w:hAnsi="Arial" w:cs="Arial"/>
          <w:bCs/>
          <w:kern w:val="3"/>
          <w:szCs w:val="24"/>
        </w:rPr>
        <w:t xml:space="preserve">Liaison Officers </w:t>
      </w:r>
      <w:r w:rsidRPr="00A419BC">
        <w:rPr>
          <w:rFonts w:ascii="Arial" w:hAnsi="Arial" w:cs="Arial"/>
          <w:bCs/>
          <w:kern w:val="3"/>
          <w:szCs w:val="24"/>
        </w:rPr>
        <w:t>and Education Advisors, with social care colleagues and schools, which provides the bedrock for the value and impact of our work.</w:t>
      </w:r>
    </w:p>
    <w:p w14:paraId="2655EA9E"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6FCCBED6" w14:textId="77777777" w:rsidR="0038233E" w:rsidRPr="00A419BC" w:rsidRDefault="0038233E" w:rsidP="0038233E">
      <w:pPr>
        <w:pStyle w:val="ListParagraph"/>
        <w:spacing w:line="276" w:lineRule="auto"/>
        <w:ind w:left="567" w:right="-199" w:hanging="567"/>
        <w:rPr>
          <w:rFonts w:ascii="Arial" w:hAnsi="Arial" w:cs="Arial"/>
          <w:b/>
          <w:szCs w:val="24"/>
        </w:rPr>
      </w:pPr>
      <w:r w:rsidRPr="00A419BC">
        <w:rPr>
          <w:rFonts w:ascii="Arial" w:hAnsi="Arial" w:cs="Arial"/>
          <w:b/>
          <w:szCs w:val="24"/>
        </w:rPr>
        <w:t>Training and capacity building</w:t>
      </w:r>
    </w:p>
    <w:p w14:paraId="404D47EA"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32B38879" w14:textId="2AB74F43" w:rsidR="0038233E" w:rsidRPr="00581263" w:rsidRDefault="00AE3C60"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Pr>
          <w:rFonts w:ascii="Arial" w:hAnsi="Arial" w:cs="Arial"/>
          <w:szCs w:val="24"/>
        </w:rPr>
        <w:t>I</w:t>
      </w:r>
      <w:r w:rsidR="0038233E" w:rsidRPr="00A419BC">
        <w:rPr>
          <w:rFonts w:ascii="Arial" w:hAnsi="Arial" w:cs="Arial"/>
          <w:szCs w:val="24"/>
        </w:rPr>
        <w:t xml:space="preserve">n the Hampshire context, the approach </w:t>
      </w:r>
      <w:r>
        <w:rPr>
          <w:rFonts w:ascii="Arial" w:hAnsi="Arial" w:cs="Arial"/>
          <w:szCs w:val="24"/>
        </w:rPr>
        <w:t xml:space="preserve">of the Virtual School </w:t>
      </w:r>
      <w:r w:rsidR="0038233E" w:rsidRPr="00A419BC">
        <w:rPr>
          <w:rFonts w:ascii="Arial" w:hAnsi="Arial" w:cs="Arial"/>
          <w:szCs w:val="24"/>
        </w:rPr>
        <w:t xml:space="preserve">is one of building capacity across a large local authority and beyond to meet the educational needs of children in care. As a result, there is a strong focus on providing the highest quality training for designated teachers as set out in our </w:t>
      </w:r>
      <w:hyperlink r:id="rId17" w:history="1">
        <w:r w:rsidR="0038233E" w:rsidRPr="00A86303">
          <w:rPr>
            <w:rStyle w:val="Hyperlink"/>
            <w:rFonts w:ascii="Arial" w:hAnsi="Arial" w:cs="Arial"/>
            <w:szCs w:val="24"/>
          </w:rPr>
          <w:t>training brochure</w:t>
        </w:r>
      </w:hyperlink>
      <w:r w:rsidR="0038233E" w:rsidRPr="00A419BC">
        <w:rPr>
          <w:rFonts w:ascii="Arial" w:hAnsi="Arial" w:cs="Arial"/>
          <w:szCs w:val="24"/>
        </w:rPr>
        <w:t xml:space="preserve">. </w:t>
      </w:r>
      <w:r w:rsidR="0038233E">
        <w:rPr>
          <w:rFonts w:ascii="Arial" w:hAnsi="Arial" w:cs="Arial"/>
          <w:szCs w:val="24"/>
        </w:rPr>
        <w:t xml:space="preserve">We </w:t>
      </w:r>
      <w:r w:rsidR="003B14B5">
        <w:rPr>
          <w:rFonts w:ascii="Arial" w:hAnsi="Arial" w:cs="Arial"/>
          <w:szCs w:val="24"/>
        </w:rPr>
        <w:t xml:space="preserve">continue to develop </w:t>
      </w:r>
      <w:r w:rsidR="0038233E" w:rsidRPr="00A419BC">
        <w:rPr>
          <w:rFonts w:ascii="Arial" w:hAnsi="Arial" w:cs="Arial"/>
          <w:szCs w:val="24"/>
        </w:rPr>
        <w:t>our statutory training for designated teachers and guidance on the use of the PEP Toolkit</w:t>
      </w:r>
      <w:r w:rsidR="00D346B0">
        <w:rPr>
          <w:rFonts w:ascii="Arial" w:hAnsi="Arial" w:cs="Arial"/>
          <w:szCs w:val="24"/>
        </w:rPr>
        <w:t xml:space="preserve"> and </w:t>
      </w:r>
      <w:r w:rsidR="00D346B0">
        <w:rPr>
          <w:rFonts w:ascii="Arial" w:hAnsi="Arial" w:cs="Arial"/>
          <w:szCs w:val="24"/>
        </w:rPr>
        <w:lastRenderedPageBreak/>
        <w:t>Reach 2 Teach</w:t>
      </w:r>
      <w:r w:rsidR="0038233E" w:rsidRPr="00A419BC">
        <w:rPr>
          <w:rFonts w:ascii="Arial" w:hAnsi="Arial" w:cs="Arial"/>
          <w:szCs w:val="24"/>
        </w:rPr>
        <w:t>. The</w:t>
      </w:r>
      <w:r w:rsidR="00D346B0">
        <w:rPr>
          <w:rFonts w:ascii="Arial" w:hAnsi="Arial" w:cs="Arial"/>
          <w:szCs w:val="24"/>
        </w:rPr>
        <w:t xml:space="preserve">se needs </w:t>
      </w:r>
      <w:r w:rsidR="002C1B1D">
        <w:rPr>
          <w:rFonts w:ascii="Arial" w:hAnsi="Arial" w:cs="Arial"/>
          <w:szCs w:val="24"/>
        </w:rPr>
        <w:t>analysis</w:t>
      </w:r>
      <w:r w:rsidR="0038233E" w:rsidRPr="00A419BC">
        <w:rPr>
          <w:rFonts w:ascii="Arial" w:hAnsi="Arial" w:cs="Arial"/>
          <w:szCs w:val="24"/>
        </w:rPr>
        <w:t xml:space="preserve"> tool</w:t>
      </w:r>
      <w:r w:rsidR="002C1B1D">
        <w:rPr>
          <w:rFonts w:ascii="Arial" w:hAnsi="Arial" w:cs="Arial"/>
          <w:szCs w:val="24"/>
        </w:rPr>
        <w:t>s</w:t>
      </w:r>
      <w:r w:rsidR="0038233E" w:rsidRPr="00A419BC">
        <w:rPr>
          <w:rFonts w:ascii="Arial" w:hAnsi="Arial" w:cs="Arial"/>
          <w:szCs w:val="24"/>
        </w:rPr>
        <w:t xml:space="preserve"> enable lead staff to understand the causes of the behaviour of individual children, to accurately assess and plan for their needs and to develop high-quality personal education plans. Our training offer is well regarded and take up continues to improve</w:t>
      </w:r>
      <w:r w:rsidR="0038233E">
        <w:rPr>
          <w:rFonts w:ascii="Arial" w:hAnsi="Arial" w:cs="Arial"/>
          <w:szCs w:val="24"/>
        </w:rPr>
        <w:t xml:space="preserve">. </w:t>
      </w:r>
      <w:r w:rsidR="0038233E" w:rsidRPr="003B7712">
        <w:rPr>
          <w:rFonts w:ascii="Arial" w:hAnsi="Arial" w:cs="Arial"/>
          <w:szCs w:val="24"/>
        </w:rPr>
        <w:t>An analysis of the evaluation forms suggests that designated teachers attending the training had a clearer understanding of their role and felt more confident in being able to provide leadership in school to promote the educational needs of children in care.</w:t>
      </w:r>
      <w:r w:rsidR="0038233E" w:rsidRPr="00A419BC">
        <w:rPr>
          <w:rFonts w:ascii="Arial" w:hAnsi="Arial" w:cs="Arial"/>
          <w:szCs w:val="24"/>
        </w:rPr>
        <w:t xml:space="preserve"> </w:t>
      </w:r>
      <w:r w:rsidR="00661418">
        <w:rPr>
          <w:rFonts w:ascii="Arial" w:hAnsi="Arial" w:cs="Arial"/>
          <w:szCs w:val="24"/>
        </w:rPr>
        <w:t xml:space="preserve">We </w:t>
      </w:r>
      <w:r w:rsidR="009B6E27">
        <w:rPr>
          <w:rFonts w:ascii="Arial" w:hAnsi="Arial" w:cs="Arial"/>
          <w:szCs w:val="24"/>
        </w:rPr>
        <w:t>have also seen an improvement in the quality of our PEPs from staff who have atten</w:t>
      </w:r>
      <w:r w:rsidR="003B7712">
        <w:rPr>
          <w:rFonts w:ascii="Arial" w:hAnsi="Arial" w:cs="Arial"/>
          <w:szCs w:val="24"/>
        </w:rPr>
        <w:t xml:space="preserve">ded training. </w:t>
      </w:r>
      <w:r w:rsidR="0038233E" w:rsidRPr="00A419BC">
        <w:rPr>
          <w:rFonts w:ascii="Arial" w:hAnsi="Arial" w:cs="Arial"/>
          <w:szCs w:val="24"/>
        </w:rPr>
        <w:t>Virtual School are keen to develop our methodology to evaluate the impact of our training on practice and delivery in this academic year.</w:t>
      </w:r>
    </w:p>
    <w:p w14:paraId="1B4285B3" w14:textId="77777777" w:rsidR="00A90389" w:rsidRPr="00FF41CF" w:rsidRDefault="00A90389" w:rsidP="00FF41CF">
      <w:pPr>
        <w:rPr>
          <w:rFonts w:ascii="Arial" w:hAnsi="Arial" w:cs="Arial"/>
          <w:bCs/>
          <w:kern w:val="3"/>
          <w:szCs w:val="24"/>
        </w:rPr>
      </w:pPr>
    </w:p>
    <w:p w14:paraId="02DAB446" w14:textId="168CB56B" w:rsidR="00A90389" w:rsidRPr="00A90389" w:rsidRDefault="00A90389">
      <w:pPr>
        <w:pStyle w:val="ListParagraph"/>
        <w:numPr>
          <w:ilvl w:val="0"/>
          <w:numId w:val="23"/>
        </w:numPr>
        <w:suppressAutoHyphens/>
        <w:autoSpaceDN w:val="0"/>
        <w:spacing w:before="60" w:line="276" w:lineRule="auto"/>
        <w:ind w:right="-199"/>
        <w:textAlignment w:val="baseline"/>
        <w:rPr>
          <w:rFonts w:ascii="Arial" w:hAnsi="Arial" w:cs="Arial"/>
          <w:kern w:val="3"/>
          <w:szCs w:val="24"/>
        </w:rPr>
      </w:pPr>
      <w:r w:rsidRPr="00A90389">
        <w:rPr>
          <w:rFonts w:ascii="Arial" w:hAnsi="Arial" w:cs="Arial"/>
          <w:kern w:val="3"/>
          <w:szCs w:val="24"/>
        </w:rPr>
        <w:t xml:space="preserve">Additionally, in October 2024, we hosted a Designated Teacher Conference, featuring former Olympian Fatima Whitbread and Nick Barwick from Insights Wellbeing as keynote speakers. Both speakers, who </w:t>
      </w:r>
      <w:proofErr w:type="gramStart"/>
      <w:r w:rsidRPr="00A90389">
        <w:rPr>
          <w:rFonts w:ascii="Arial" w:hAnsi="Arial" w:cs="Arial"/>
          <w:kern w:val="3"/>
          <w:szCs w:val="24"/>
        </w:rPr>
        <w:t>are care</w:t>
      </w:r>
      <w:proofErr w:type="gramEnd"/>
      <w:r w:rsidRPr="00A90389">
        <w:rPr>
          <w:rFonts w:ascii="Arial" w:hAnsi="Arial" w:cs="Arial"/>
          <w:kern w:val="3"/>
          <w:szCs w:val="24"/>
        </w:rPr>
        <w:t xml:space="preserve"> experienced, shared powerful personal stories that resonated deeply with attendees. The Care Experienced Council also premiered a thought-provoking video on stigma, which has since been shared with all schools. Additionally, we used the event to launch Hampshire</w:t>
      </w:r>
      <w:r w:rsidR="00FF41CF">
        <w:rPr>
          <w:rFonts w:ascii="Arial" w:hAnsi="Arial" w:cs="Arial"/>
          <w:kern w:val="3"/>
          <w:szCs w:val="24"/>
        </w:rPr>
        <w:t xml:space="preserve"> </w:t>
      </w:r>
      <w:r w:rsidRPr="00A90389">
        <w:rPr>
          <w:rFonts w:ascii="Arial" w:hAnsi="Arial" w:cs="Arial"/>
          <w:kern w:val="3"/>
          <w:szCs w:val="24"/>
        </w:rPr>
        <w:t>wide access to the Attachment and Research Community (ARC) membership, available to all schools through the Virtual School. The conference was</w:t>
      </w:r>
      <w:r w:rsidR="00FF41CF">
        <w:rPr>
          <w:rFonts w:ascii="Arial" w:hAnsi="Arial" w:cs="Arial"/>
          <w:kern w:val="3"/>
          <w:szCs w:val="24"/>
        </w:rPr>
        <w:t xml:space="preserve"> well attended</w:t>
      </w:r>
      <w:r w:rsidRPr="00A90389">
        <w:rPr>
          <w:rFonts w:ascii="Arial" w:hAnsi="Arial" w:cs="Arial"/>
          <w:kern w:val="3"/>
          <w:szCs w:val="24"/>
        </w:rPr>
        <w:t>, with over 150 delegates in attendance.</w:t>
      </w:r>
    </w:p>
    <w:p w14:paraId="09761ED9" w14:textId="77777777" w:rsidR="000A1FF8" w:rsidRPr="000A1FF8" w:rsidRDefault="000A1FF8" w:rsidP="000A1FF8">
      <w:pPr>
        <w:suppressAutoHyphens/>
        <w:autoSpaceDN w:val="0"/>
        <w:spacing w:before="60" w:line="276" w:lineRule="auto"/>
        <w:ind w:right="-199"/>
        <w:textAlignment w:val="baseline"/>
        <w:rPr>
          <w:rFonts w:ascii="Arial" w:hAnsi="Arial" w:cs="Arial"/>
          <w:bCs/>
          <w:kern w:val="3"/>
          <w:szCs w:val="24"/>
        </w:rPr>
      </w:pPr>
    </w:p>
    <w:p w14:paraId="21C5733D" w14:textId="09561505"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27F90AB0">
        <w:rPr>
          <w:rFonts w:ascii="Arial" w:hAnsi="Arial" w:cs="Arial"/>
          <w:szCs w:val="24"/>
        </w:rPr>
        <w:t>The well-established Attachment and Trauma Aware Schools and Settings (ATAS) programme has entered its fifth year in partnership with K</w:t>
      </w:r>
      <w:r>
        <w:rPr>
          <w:rFonts w:ascii="Arial" w:hAnsi="Arial" w:cs="Arial"/>
          <w:szCs w:val="24"/>
        </w:rPr>
        <w:t>nowledge Change Action</w:t>
      </w:r>
      <w:r w:rsidRPr="27F90AB0">
        <w:rPr>
          <w:rFonts w:ascii="Arial" w:hAnsi="Arial" w:cs="Arial"/>
          <w:szCs w:val="24"/>
        </w:rPr>
        <w:t xml:space="preserve"> (KCA</w:t>
      </w:r>
      <w:proofErr w:type="gramStart"/>
      <w:r w:rsidRPr="27F90AB0">
        <w:rPr>
          <w:rFonts w:ascii="Arial" w:hAnsi="Arial" w:cs="Arial"/>
          <w:szCs w:val="24"/>
        </w:rPr>
        <w:t>)</w:t>
      </w:r>
      <w:proofErr w:type="gramEnd"/>
      <w:r w:rsidRPr="27F90AB0">
        <w:rPr>
          <w:rFonts w:ascii="Arial" w:hAnsi="Arial" w:cs="Arial"/>
          <w:szCs w:val="24"/>
        </w:rPr>
        <w:t xml:space="preserve"> and we currently have 1</w:t>
      </w:r>
      <w:r w:rsidR="006043DA">
        <w:rPr>
          <w:rFonts w:ascii="Arial" w:hAnsi="Arial" w:cs="Arial"/>
          <w:szCs w:val="24"/>
        </w:rPr>
        <w:t>32</w:t>
      </w:r>
      <w:r w:rsidRPr="27F90AB0">
        <w:rPr>
          <w:rFonts w:ascii="Arial" w:hAnsi="Arial" w:cs="Arial"/>
          <w:szCs w:val="24"/>
        </w:rPr>
        <w:t xml:space="preserve"> schools in Hampshire who have completed the specialist training which is based on a ‘Lead Team’ model. The wide-ranging impact of the programme includes whole school implementation of emotion coaching to support co-regulation of children’s behaviour ‘in the moment,’ and programmes of staff development around attachment and trauma initiated and led by Designated Teachers. </w:t>
      </w:r>
      <w:r w:rsidR="006043DA">
        <w:rPr>
          <w:rFonts w:ascii="Arial" w:hAnsi="Arial" w:cs="Arial"/>
          <w:szCs w:val="24"/>
        </w:rPr>
        <w:t>This year we are on our 12</w:t>
      </w:r>
      <w:r w:rsidR="006043DA" w:rsidRPr="006043DA">
        <w:rPr>
          <w:rFonts w:ascii="Arial" w:hAnsi="Arial" w:cs="Arial"/>
          <w:szCs w:val="24"/>
          <w:vertAlign w:val="superscript"/>
        </w:rPr>
        <w:t>th</w:t>
      </w:r>
      <w:r w:rsidR="006043DA">
        <w:rPr>
          <w:rFonts w:ascii="Arial" w:hAnsi="Arial" w:cs="Arial"/>
          <w:szCs w:val="24"/>
        </w:rPr>
        <w:t xml:space="preserve"> cohort, which has a strong secondary</w:t>
      </w:r>
      <w:r w:rsidR="00E23C83">
        <w:rPr>
          <w:rFonts w:ascii="Arial" w:hAnsi="Arial" w:cs="Arial"/>
          <w:szCs w:val="24"/>
        </w:rPr>
        <w:t xml:space="preserve"> weighting and start</w:t>
      </w:r>
      <w:r w:rsidR="00CD419D">
        <w:rPr>
          <w:rFonts w:ascii="Arial" w:hAnsi="Arial" w:cs="Arial"/>
          <w:szCs w:val="24"/>
        </w:rPr>
        <w:t>ed</w:t>
      </w:r>
      <w:r w:rsidR="00E23C83">
        <w:rPr>
          <w:rFonts w:ascii="Arial" w:hAnsi="Arial" w:cs="Arial"/>
          <w:szCs w:val="24"/>
        </w:rPr>
        <w:t xml:space="preserve"> June 2025.</w:t>
      </w:r>
    </w:p>
    <w:p w14:paraId="09DDD52C"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79411A90" w14:textId="16D3BB6D"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In the academic year 202</w:t>
      </w:r>
      <w:r w:rsidR="00C67AAE">
        <w:rPr>
          <w:rFonts w:ascii="Arial" w:hAnsi="Arial" w:cs="Arial"/>
          <w:szCs w:val="24"/>
        </w:rPr>
        <w:t>4</w:t>
      </w:r>
      <w:r w:rsidRPr="00A419BC">
        <w:rPr>
          <w:rFonts w:ascii="Arial" w:hAnsi="Arial" w:cs="Arial"/>
          <w:szCs w:val="24"/>
        </w:rPr>
        <w:t>- 202</w:t>
      </w:r>
      <w:r w:rsidR="00C67AAE">
        <w:rPr>
          <w:rFonts w:ascii="Arial" w:hAnsi="Arial" w:cs="Arial"/>
          <w:szCs w:val="24"/>
        </w:rPr>
        <w:t>5</w:t>
      </w:r>
      <w:r w:rsidRPr="00A419BC">
        <w:rPr>
          <w:rFonts w:ascii="Arial" w:hAnsi="Arial" w:cs="Arial"/>
          <w:szCs w:val="24"/>
        </w:rPr>
        <w:t>, all year R, 6 and year 7 designated teachers were offered bespoke training and transition support.</w:t>
      </w:r>
      <w:r w:rsidR="00F624C0">
        <w:rPr>
          <w:rFonts w:ascii="Arial" w:hAnsi="Arial" w:cs="Arial"/>
          <w:szCs w:val="24"/>
        </w:rPr>
        <w:t xml:space="preserve"> ‘Smart Moves’ </w:t>
      </w:r>
      <w:r w:rsidR="00D62632" w:rsidRPr="00551781">
        <w:rPr>
          <w:rFonts w:ascii="Arial" w:hAnsi="Arial" w:cs="Arial"/>
          <w:szCs w:val="24"/>
        </w:rPr>
        <w:t xml:space="preserve">books are sent to all schools </w:t>
      </w:r>
      <w:r w:rsidR="00332812" w:rsidRPr="00551781">
        <w:rPr>
          <w:rFonts w:ascii="Arial" w:hAnsi="Arial" w:cs="Arial"/>
          <w:szCs w:val="24"/>
        </w:rPr>
        <w:t>with children in year 6</w:t>
      </w:r>
      <w:r w:rsidR="00F624C0">
        <w:rPr>
          <w:rFonts w:ascii="Arial" w:hAnsi="Arial" w:cs="Arial"/>
          <w:szCs w:val="24"/>
        </w:rPr>
        <w:t xml:space="preserve"> to support transition</w:t>
      </w:r>
      <w:r w:rsidR="00332812" w:rsidRPr="00551781">
        <w:rPr>
          <w:rFonts w:ascii="Arial" w:hAnsi="Arial" w:cs="Arial"/>
          <w:szCs w:val="24"/>
        </w:rPr>
        <w:t>.</w:t>
      </w:r>
      <w:r w:rsidR="00332812">
        <w:rPr>
          <w:rFonts w:ascii="Arial" w:hAnsi="Arial" w:cs="Arial"/>
          <w:szCs w:val="24"/>
        </w:rPr>
        <w:t xml:space="preserve"> </w:t>
      </w:r>
      <w:r w:rsidR="00C67AAE">
        <w:rPr>
          <w:rFonts w:ascii="Arial" w:hAnsi="Arial" w:cs="Arial"/>
          <w:szCs w:val="24"/>
        </w:rPr>
        <w:t>Furthermore, we ran termly network meetings online</w:t>
      </w:r>
      <w:r w:rsidR="00761EF1">
        <w:rPr>
          <w:rFonts w:ascii="Arial" w:hAnsi="Arial" w:cs="Arial"/>
          <w:szCs w:val="24"/>
        </w:rPr>
        <w:t xml:space="preserve">, each network was attended by over </w:t>
      </w:r>
      <w:r w:rsidR="00FF41CF">
        <w:rPr>
          <w:rFonts w:ascii="Arial" w:hAnsi="Arial" w:cs="Arial"/>
          <w:szCs w:val="24"/>
        </w:rPr>
        <w:t>150</w:t>
      </w:r>
      <w:r w:rsidR="00761EF1">
        <w:rPr>
          <w:rFonts w:ascii="Arial" w:hAnsi="Arial" w:cs="Arial"/>
          <w:szCs w:val="24"/>
        </w:rPr>
        <w:t xml:space="preserve"> delegates.</w:t>
      </w:r>
    </w:p>
    <w:p w14:paraId="7568643F" w14:textId="77777777" w:rsidR="00116E0D" w:rsidRDefault="00116E0D" w:rsidP="0038233E">
      <w:pPr>
        <w:spacing w:line="276" w:lineRule="auto"/>
        <w:ind w:right="-199"/>
        <w:rPr>
          <w:rFonts w:ascii="Arial" w:hAnsi="Arial" w:cs="Arial"/>
          <w:b/>
          <w:bCs/>
          <w:kern w:val="3"/>
          <w:szCs w:val="24"/>
        </w:rPr>
      </w:pPr>
    </w:p>
    <w:p w14:paraId="4F2EDB4E" w14:textId="77777777" w:rsidR="004E3E8B" w:rsidRDefault="004E3E8B" w:rsidP="0038233E">
      <w:pPr>
        <w:spacing w:line="276" w:lineRule="auto"/>
        <w:ind w:right="-199"/>
        <w:rPr>
          <w:rFonts w:ascii="Arial" w:hAnsi="Arial" w:cs="Arial"/>
          <w:b/>
          <w:bCs/>
          <w:kern w:val="3"/>
          <w:szCs w:val="24"/>
        </w:rPr>
      </w:pPr>
    </w:p>
    <w:p w14:paraId="40E41A28" w14:textId="77777777" w:rsidR="004E3E8B" w:rsidRDefault="004E3E8B" w:rsidP="0038233E">
      <w:pPr>
        <w:spacing w:line="276" w:lineRule="auto"/>
        <w:ind w:right="-199"/>
        <w:rPr>
          <w:rFonts w:ascii="Arial" w:hAnsi="Arial" w:cs="Arial"/>
          <w:b/>
          <w:bCs/>
          <w:kern w:val="3"/>
          <w:szCs w:val="24"/>
        </w:rPr>
      </w:pPr>
    </w:p>
    <w:p w14:paraId="6CC69F97" w14:textId="6DF1EEF0" w:rsidR="0038233E" w:rsidRPr="008F5B09" w:rsidRDefault="0038233E" w:rsidP="0038233E">
      <w:pPr>
        <w:spacing w:line="276" w:lineRule="auto"/>
        <w:ind w:right="-199"/>
        <w:rPr>
          <w:rFonts w:ascii="Arial" w:hAnsi="Arial" w:cs="Arial"/>
          <w:b/>
          <w:bCs/>
          <w:kern w:val="3"/>
          <w:szCs w:val="24"/>
        </w:rPr>
      </w:pPr>
      <w:r w:rsidRPr="008F5B09">
        <w:rPr>
          <w:rFonts w:ascii="Arial" w:hAnsi="Arial" w:cs="Arial"/>
          <w:b/>
          <w:bCs/>
          <w:kern w:val="3"/>
          <w:szCs w:val="24"/>
        </w:rPr>
        <w:lastRenderedPageBreak/>
        <w:t xml:space="preserve">Partnership working </w:t>
      </w:r>
    </w:p>
    <w:p w14:paraId="222B28BD"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7A6B843B"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 xml:space="preserve">The Virtual School has collaborated with different teams and services to bring a bespoke additional training offer to designated teachers. </w:t>
      </w:r>
    </w:p>
    <w:p w14:paraId="1CAB8073"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64CDFB9" w14:textId="4086263B" w:rsidR="0038233E" w:rsidRPr="0080777C" w:rsidRDefault="0038233E" w:rsidP="0080777C">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The strong partnership with Hampshire Futures has continued to develop through the work of the</w:t>
      </w:r>
      <w:r>
        <w:rPr>
          <w:rFonts w:ascii="Arial" w:hAnsi="Arial" w:cs="Arial"/>
          <w:bCs/>
          <w:kern w:val="3"/>
          <w:szCs w:val="24"/>
        </w:rPr>
        <w:t xml:space="preserve"> Education and Participation Team</w:t>
      </w:r>
      <w:r w:rsidRPr="00A419BC">
        <w:rPr>
          <w:rFonts w:ascii="Arial" w:hAnsi="Arial" w:cs="Arial"/>
          <w:bCs/>
          <w:kern w:val="3"/>
          <w:szCs w:val="24"/>
        </w:rPr>
        <w:t xml:space="preserve">. The proactive work of the team around the most vulnerable young people in year 11 as they transition into the post 16 has contributed to fewer young people not in education employment and training (NEET). </w:t>
      </w:r>
      <w:r w:rsidRPr="00A419BC">
        <w:rPr>
          <w:rFonts w:ascii="Arial" w:hAnsi="Arial" w:cs="Arial"/>
          <w:szCs w:val="24"/>
        </w:rPr>
        <w:t>In Hampshire in 202</w:t>
      </w:r>
      <w:r w:rsidR="0041185F">
        <w:rPr>
          <w:rFonts w:ascii="Arial" w:hAnsi="Arial" w:cs="Arial"/>
          <w:szCs w:val="24"/>
        </w:rPr>
        <w:t>4</w:t>
      </w:r>
      <w:r w:rsidRPr="00A419BC">
        <w:rPr>
          <w:rFonts w:ascii="Arial" w:hAnsi="Arial" w:cs="Arial"/>
          <w:szCs w:val="24"/>
        </w:rPr>
        <w:t xml:space="preserve">, the </w:t>
      </w:r>
      <w:r w:rsidR="004A200D">
        <w:rPr>
          <w:rFonts w:ascii="Arial" w:hAnsi="Arial" w:cs="Arial"/>
          <w:szCs w:val="24"/>
        </w:rPr>
        <w:t xml:space="preserve">September Guarantee </w:t>
      </w:r>
      <w:r w:rsidRPr="00A419BC">
        <w:rPr>
          <w:rFonts w:ascii="Arial" w:hAnsi="Arial" w:cs="Arial"/>
          <w:szCs w:val="24"/>
        </w:rPr>
        <w:t xml:space="preserve">percentage of looked after children securing a place in post 16 education was higher </w:t>
      </w:r>
      <w:r w:rsidRPr="00085A9F">
        <w:rPr>
          <w:rFonts w:ascii="Arial" w:hAnsi="Arial" w:cs="Arial"/>
          <w:szCs w:val="24"/>
        </w:rPr>
        <w:t>(</w:t>
      </w:r>
      <w:r w:rsidR="0080777C" w:rsidRPr="004A200D">
        <w:rPr>
          <w:rFonts w:ascii="Arial" w:hAnsi="Arial" w:cs="Arial"/>
          <w:szCs w:val="24"/>
        </w:rPr>
        <w:t>96.8%</w:t>
      </w:r>
      <w:r w:rsidRPr="004A200D">
        <w:rPr>
          <w:rFonts w:ascii="Arial" w:hAnsi="Arial" w:cs="Arial"/>
          <w:szCs w:val="24"/>
        </w:rPr>
        <w:t>) than</w:t>
      </w:r>
      <w:r w:rsidRPr="0080777C">
        <w:rPr>
          <w:rFonts w:ascii="Arial" w:hAnsi="Arial" w:cs="Arial"/>
          <w:szCs w:val="24"/>
        </w:rPr>
        <w:t xml:space="preserve"> the </w:t>
      </w:r>
      <w:r w:rsidR="006655D2" w:rsidRPr="7E467C83">
        <w:rPr>
          <w:rFonts w:ascii="Arial" w:hAnsi="Arial" w:cs="Arial"/>
          <w:szCs w:val="24"/>
        </w:rPr>
        <w:t>National (94.6%) and Regional (93.2%) average</w:t>
      </w:r>
      <w:r w:rsidR="004A200D">
        <w:rPr>
          <w:rFonts w:ascii="Arial" w:hAnsi="Arial" w:cs="Arial"/>
          <w:szCs w:val="24"/>
        </w:rPr>
        <w:t>.</w:t>
      </w:r>
    </w:p>
    <w:p w14:paraId="530873BC"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65876C5D" w14:textId="77777777" w:rsidR="00887FE4" w:rsidRPr="00887FE4"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904B5B">
        <w:rPr>
          <w:rFonts w:ascii="Arial" w:hAnsi="Arial" w:cs="Arial"/>
          <w:kern w:val="3"/>
          <w:szCs w:val="24"/>
        </w:rPr>
        <w:t>Additionally, Virtual School have commissioned Future You who work creatively to support young people transitioning into school and offer alternative packages of support where they may be struggling to engage. This has been particularly successful with our children living in residential homes.</w:t>
      </w:r>
      <w:r w:rsidR="00887FE4">
        <w:rPr>
          <w:rFonts w:ascii="Arial" w:hAnsi="Arial" w:cs="Arial"/>
          <w:kern w:val="3"/>
          <w:szCs w:val="24"/>
        </w:rPr>
        <w:t xml:space="preserve"> </w:t>
      </w:r>
    </w:p>
    <w:p w14:paraId="17550E18" w14:textId="77777777" w:rsidR="00887FE4" w:rsidRPr="00887FE4" w:rsidRDefault="00887FE4" w:rsidP="00887FE4">
      <w:pPr>
        <w:pStyle w:val="ListParagraph"/>
        <w:rPr>
          <w:rFonts w:ascii="Arial" w:hAnsi="Arial" w:cs="Arial"/>
          <w:kern w:val="3"/>
          <w:szCs w:val="24"/>
        </w:rPr>
      </w:pPr>
    </w:p>
    <w:p w14:paraId="23E3DDC6" w14:textId="3BF4A8D6" w:rsidR="0038233E" w:rsidRPr="00904B5B" w:rsidRDefault="00887FE4"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Pr>
          <w:rFonts w:ascii="Arial" w:hAnsi="Arial" w:cs="Arial"/>
          <w:kern w:val="3"/>
          <w:szCs w:val="24"/>
        </w:rPr>
        <w:t xml:space="preserve">Furthermore, we have commissioned </w:t>
      </w:r>
      <w:r w:rsidRPr="00091ABB">
        <w:rPr>
          <w:rFonts w:ascii="Arial" w:hAnsi="Arial" w:cs="Arial"/>
          <w:kern w:val="3"/>
          <w:szCs w:val="24"/>
        </w:rPr>
        <w:t>Hampshire Outdoors to</w:t>
      </w:r>
      <w:r w:rsidR="00104000">
        <w:rPr>
          <w:rFonts w:ascii="Arial" w:hAnsi="Arial" w:cs="Arial"/>
          <w:kern w:val="3"/>
          <w:szCs w:val="24"/>
        </w:rPr>
        <w:t xml:space="preserve"> provide bespoke one day programmes to support </w:t>
      </w:r>
      <w:r w:rsidR="00EB3B37">
        <w:rPr>
          <w:rFonts w:ascii="Arial" w:hAnsi="Arial" w:cs="Arial"/>
          <w:kern w:val="3"/>
          <w:szCs w:val="24"/>
        </w:rPr>
        <w:t>our children</w:t>
      </w:r>
      <w:r w:rsidR="00091ABB">
        <w:rPr>
          <w:rFonts w:ascii="Arial" w:hAnsi="Arial" w:cs="Arial"/>
          <w:kern w:val="3"/>
          <w:szCs w:val="24"/>
        </w:rPr>
        <w:t xml:space="preserve"> with regulation and to re-engage </w:t>
      </w:r>
      <w:r w:rsidR="000E6EA6">
        <w:rPr>
          <w:rFonts w:ascii="Arial" w:hAnsi="Arial" w:cs="Arial"/>
          <w:kern w:val="3"/>
          <w:szCs w:val="24"/>
        </w:rPr>
        <w:t xml:space="preserve">them </w:t>
      </w:r>
      <w:r w:rsidR="00091ABB">
        <w:rPr>
          <w:rFonts w:ascii="Arial" w:hAnsi="Arial" w:cs="Arial"/>
          <w:kern w:val="3"/>
          <w:szCs w:val="24"/>
        </w:rPr>
        <w:t>with education.</w:t>
      </w:r>
    </w:p>
    <w:p w14:paraId="3F00FC82"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B759924"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The Virtual School has continued to collaborate with Services for Young Children. The joint work around the training offer for year R teachers, use of the early years PEP toolkit</w:t>
      </w:r>
      <w:r>
        <w:rPr>
          <w:rFonts w:ascii="Arial" w:hAnsi="Arial" w:cs="Arial"/>
          <w:bCs/>
          <w:kern w:val="3"/>
          <w:szCs w:val="24"/>
        </w:rPr>
        <w:t>, quality assurance of PEPs</w:t>
      </w:r>
      <w:r w:rsidRPr="00A419BC">
        <w:rPr>
          <w:rFonts w:ascii="Arial" w:hAnsi="Arial" w:cs="Arial"/>
          <w:bCs/>
          <w:kern w:val="3"/>
          <w:szCs w:val="24"/>
        </w:rPr>
        <w:t xml:space="preserve"> and focus on transition into school should have a significant impact</w:t>
      </w:r>
      <w:r>
        <w:rPr>
          <w:rFonts w:ascii="Arial" w:hAnsi="Arial" w:cs="Arial"/>
          <w:bCs/>
          <w:kern w:val="3"/>
          <w:szCs w:val="24"/>
        </w:rPr>
        <w:t xml:space="preserve"> on outcomes</w:t>
      </w:r>
      <w:r w:rsidRPr="00A419BC">
        <w:rPr>
          <w:rFonts w:ascii="Arial" w:hAnsi="Arial" w:cs="Arial"/>
          <w:bCs/>
          <w:kern w:val="3"/>
          <w:szCs w:val="24"/>
        </w:rPr>
        <w:t>.</w:t>
      </w:r>
    </w:p>
    <w:p w14:paraId="756053A3"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6B09916" w14:textId="003720BB" w:rsidR="0038233E" w:rsidRPr="00E058D6"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Virtual School work closely with the </w:t>
      </w:r>
      <w:bookmarkStart w:id="18" w:name="_Int_kJwijcov"/>
      <w:r w:rsidRPr="00A419BC">
        <w:rPr>
          <w:rFonts w:ascii="Arial" w:hAnsi="Arial" w:cs="Arial"/>
          <w:szCs w:val="24"/>
        </w:rPr>
        <w:t>HEP</w:t>
      </w:r>
      <w:bookmarkEnd w:id="18"/>
      <w:r w:rsidRPr="00A419BC">
        <w:rPr>
          <w:rFonts w:ascii="Arial" w:hAnsi="Arial" w:cs="Arial"/>
          <w:szCs w:val="24"/>
        </w:rPr>
        <w:t xml:space="preserve"> service (Hampshire Psychology Service) and ha</w:t>
      </w:r>
      <w:r w:rsidR="00935891">
        <w:rPr>
          <w:rFonts w:ascii="Arial" w:hAnsi="Arial" w:cs="Arial"/>
          <w:szCs w:val="24"/>
        </w:rPr>
        <w:t>d</w:t>
      </w:r>
      <w:r w:rsidRPr="00A419BC">
        <w:rPr>
          <w:rFonts w:ascii="Arial" w:hAnsi="Arial" w:cs="Arial"/>
          <w:szCs w:val="24"/>
        </w:rPr>
        <w:t xml:space="preserve"> a service level agreement in place</w:t>
      </w:r>
      <w:r w:rsidR="00935891">
        <w:rPr>
          <w:rFonts w:ascii="Arial" w:hAnsi="Arial" w:cs="Arial"/>
          <w:szCs w:val="24"/>
        </w:rPr>
        <w:t xml:space="preserve"> up until </w:t>
      </w:r>
      <w:r w:rsidR="006A2776">
        <w:rPr>
          <w:rFonts w:ascii="Arial" w:hAnsi="Arial" w:cs="Arial"/>
          <w:szCs w:val="24"/>
        </w:rPr>
        <w:t xml:space="preserve">31 </w:t>
      </w:r>
      <w:r w:rsidR="00935891">
        <w:rPr>
          <w:rFonts w:ascii="Arial" w:hAnsi="Arial" w:cs="Arial"/>
          <w:szCs w:val="24"/>
        </w:rPr>
        <w:t>March</w:t>
      </w:r>
      <w:r w:rsidR="006A2776">
        <w:rPr>
          <w:rFonts w:ascii="Arial" w:hAnsi="Arial" w:cs="Arial"/>
          <w:szCs w:val="24"/>
        </w:rPr>
        <w:t xml:space="preserve"> 2025</w:t>
      </w:r>
      <w:r w:rsidRPr="00A419BC">
        <w:rPr>
          <w:rFonts w:ascii="Arial" w:hAnsi="Arial" w:cs="Arial"/>
          <w:szCs w:val="24"/>
        </w:rPr>
        <w:t>. The service provide</w:t>
      </w:r>
      <w:r w:rsidR="00935891">
        <w:rPr>
          <w:rFonts w:ascii="Arial" w:hAnsi="Arial" w:cs="Arial"/>
          <w:szCs w:val="24"/>
        </w:rPr>
        <w:t>d</w:t>
      </w:r>
      <w:r w:rsidRPr="00A419BC">
        <w:rPr>
          <w:rFonts w:ascii="Arial" w:hAnsi="Arial" w:cs="Arial"/>
          <w:szCs w:val="24"/>
        </w:rPr>
        <w:t xml:space="preserve"> bespoke consultations, individual casework, </w:t>
      </w:r>
      <w:bookmarkStart w:id="19" w:name="_Int_NaAM7WDn"/>
      <w:r w:rsidRPr="00A419BC">
        <w:rPr>
          <w:rFonts w:ascii="Arial" w:hAnsi="Arial" w:cs="Arial"/>
          <w:szCs w:val="24"/>
        </w:rPr>
        <w:t>support</w:t>
      </w:r>
      <w:bookmarkEnd w:id="19"/>
      <w:r w:rsidRPr="00A419BC">
        <w:rPr>
          <w:rFonts w:ascii="Arial" w:hAnsi="Arial" w:cs="Arial"/>
          <w:szCs w:val="24"/>
        </w:rPr>
        <w:t xml:space="preserve"> and training to professionals supporting our young people including PEP Toolkit plus training. We ensure</w:t>
      </w:r>
      <w:r w:rsidR="00CC74FE">
        <w:rPr>
          <w:rFonts w:ascii="Arial" w:hAnsi="Arial" w:cs="Arial"/>
          <w:szCs w:val="24"/>
        </w:rPr>
        <w:t>d</w:t>
      </w:r>
      <w:r w:rsidRPr="00A419BC">
        <w:rPr>
          <w:rFonts w:ascii="Arial" w:hAnsi="Arial" w:cs="Arial"/>
          <w:szCs w:val="24"/>
        </w:rPr>
        <w:t xml:space="preserve"> that designated teachers have access to individual consultations from Educational Psychologists every term to support them with children facing difficulties or challenges in school. The Virtual School has also responded to training needs identified by schools and HEP support</w:t>
      </w:r>
      <w:r w:rsidR="00E058D6">
        <w:rPr>
          <w:rFonts w:ascii="Arial" w:hAnsi="Arial" w:cs="Arial"/>
          <w:szCs w:val="24"/>
        </w:rPr>
        <w:t xml:space="preserve">ed </w:t>
      </w:r>
      <w:r w:rsidRPr="00A419BC">
        <w:rPr>
          <w:rFonts w:ascii="Arial" w:hAnsi="Arial" w:cs="Arial"/>
          <w:szCs w:val="24"/>
        </w:rPr>
        <w:t>delivery of training around these needs through network meetings or bespoke sessions.</w:t>
      </w:r>
      <w:r w:rsidR="00E058D6">
        <w:rPr>
          <w:rFonts w:ascii="Arial" w:hAnsi="Arial" w:cs="Arial"/>
          <w:szCs w:val="24"/>
        </w:rPr>
        <w:t xml:space="preserve"> </w:t>
      </w:r>
    </w:p>
    <w:p w14:paraId="3FE41338" w14:textId="77777777" w:rsidR="00E058D6" w:rsidRPr="00E058D6" w:rsidRDefault="00E058D6" w:rsidP="00E058D6">
      <w:pPr>
        <w:pStyle w:val="ListParagraph"/>
        <w:rPr>
          <w:rFonts w:ascii="Arial" w:hAnsi="Arial" w:cs="Arial"/>
          <w:bCs/>
          <w:kern w:val="3"/>
          <w:szCs w:val="24"/>
        </w:rPr>
      </w:pPr>
    </w:p>
    <w:p w14:paraId="16C031C3" w14:textId="1816F868" w:rsidR="0038233E" w:rsidRDefault="00E058D6">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F624C0">
        <w:rPr>
          <w:rFonts w:ascii="Arial" w:hAnsi="Arial" w:cs="Arial"/>
          <w:bCs/>
          <w:kern w:val="3"/>
          <w:szCs w:val="24"/>
        </w:rPr>
        <w:t>Since October 2024</w:t>
      </w:r>
      <w:r w:rsidR="001D3C8A" w:rsidRPr="00F624C0">
        <w:rPr>
          <w:rFonts w:ascii="Arial" w:hAnsi="Arial" w:cs="Arial"/>
          <w:bCs/>
          <w:kern w:val="3"/>
          <w:szCs w:val="24"/>
        </w:rPr>
        <w:t xml:space="preserve">, Virtual School appointed their own educational </w:t>
      </w:r>
      <w:r w:rsidR="003C6D66" w:rsidRPr="00F624C0">
        <w:rPr>
          <w:rFonts w:ascii="Arial" w:hAnsi="Arial" w:cs="Arial"/>
          <w:bCs/>
          <w:kern w:val="3"/>
          <w:szCs w:val="24"/>
        </w:rPr>
        <w:t>psychologist</w:t>
      </w:r>
      <w:r w:rsidR="00F624C0" w:rsidRPr="00F624C0">
        <w:rPr>
          <w:rFonts w:ascii="Arial" w:hAnsi="Arial" w:cs="Arial"/>
          <w:bCs/>
          <w:kern w:val="3"/>
          <w:szCs w:val="24"/>
        </w:rPr>
        <w:t xml:space="preserve"> to give greater flexibility and responsive</w:t>
      </w:r>
      <w:r w:rsidR="00A46C25">
        <w:rPr>
          <w:rFonts w:ascii="Arial" w:hAnsi="Arial" w:cs="Arial"/>
          <w:bCs/>
          <w:kern w:val="3"/>
          <w:szCs w:val="24"/>
        </w:rPr>
        <w:t>ness</w:t>
      </w:r>
      <w:r w:rsidR="00F624C0" w:rsidRPr="00F624C0">
        <w:rPr>
          <w:rFonts w:ascii="Arial" w:hAnsi="Arial" w:cs="Arial"/>
          <w:bCs/>
          <w:kern w:val="3"/>
          <w:szCs w:val="24"/>
        </w:rPr>
        <w:t xml:space="preserve"> for </w:t>
      </w:r>
      <w:r w:rsidR="00F624C0">
        <w:rPr>
          <w:rFonts w:ascii="Arial" w:hAnsi="Arial" w:cs="Arial"/>
          <w:bCs/>
          <w:kern w:val="3"/>
          <w:szCs w:val="24"/>
        </w:rPr>
        <w:t xml:space="preserve">our children. The educational psychologist </w:t>
      </w:r>
      <w:r w:rsidR="00A46C25">
        <w:rPr>
          <w:rFonts w:ascii="Arial" w:hAnsi="Arial" w:cs="Arial"/>
          <w:bCs/>
          <w:kern w:val="3"/>
          <w:szCs w:val="24"/>
        </w:rPr>
        <w:t>runs weekly consultations</w:t>
      </w:r>
      <w:r w:rsidR="001F3CE7">
        <w:rPr>
          <w:rFonts w:ascii="Arial" w:hAnsi="Arial" w:cs="Arial"/>
          <w:bCs/>
          <w:kern w:val="3"/>
          <w:szCs w:val="24"/>
        </w:rPr>
        <w:t xml:space="preserve"> to support </w:t>
      </w:r>
      <w:r w:rsidR="00D13AE6">
        <w:rPr>
          <w:rFonts w:ascii="Arial" w:hAnsi="Arial" w:cs="Arial"/>
          <w:bCs/>
          <w:kern w:val="3"/>
          <w:szCs w:val="24"/>
        </w:rPr>
        <w:lastRenderedPageBreak/>
        <w:t>professionals supporting our children</w:t>
      </w:r>
      <w:r w:rsidR="00E64FDB">
        <w:rPr>
          <w:rFonts w:ascii="Arial" w:hAnsi="Arial" w:cs="Arial"/>
          <w:bCs/>
          <w:kern w:val="3"/>
          <w:szCs w:val="24"/>
        </w:rPr>
        <w:t xml:space="preserve">; </w:t>
      </w:r>
      <w:r w:rsidR="00A46C25">
        <w:rPr>
          <w:rFonts w:ascii="Arial" w:hAnsi="Arial" w:cs="Arial"/>
          <w:bCs/>
          <w:kern w:val="3"/>
          <w:szCs w:val="24"/>
        </w:rPr>
        <w:t xml:space="preserve">feedback from </w:t>
      </w:r>
      <w:r w:rsidR="00E45130">
        <w:rPr>
          <w:rFonts w:ascii="Arial" w:hAnsi="Arial" w:cs="Arial"/>
          <w:bCs/>
          <w:kern w:val="3"/>
          <w:szCs w:val="24"/>
        </w:rPr>
        <w:t xml:space="preserve">professionals </w:t>
      </w:r>
      <w:r w:rsidR="00A46C25">
        <w:rPr>
          <w:rFonts w:ascii="Arial" w:hAnsi="Arial" w:cs="Arial"/>
          <w:bCs/>
          <w:kern w:val="3"/>
          <w:szCs w:val="24"/>
        </w:rPr>
        <w:t xml:space="preserve">accessing these </w:t>
      </w:r>
      <w:r w:rsidR="00A42A1C">
        <w:rPr>
          <w:rFonts w:ascii="Arial" w:hAnsi="Arial" w:cs="Arial"/>
          <w:bCs/>
          <w:kern w:val="3"/>
          <w:szCs w:val="24"/>
        </w:rPr>
        <w:t xml:space="preserve">is very positive. </w:t>
      </w:r>
      <w:r w:rsidR="00E64FDB">
        <w:rPr>
          <w:rFonts w:ascii="Arial" w:hAnsi="Arial" w:cs="Arial"/>
          <w:bCs/>
          <w:kern w:val="3"/>
          <w:szCs w:val="24"/>
        </w:rPr>
        <w:t xml:space="preserve">Additionally, they </w:t>
      </w:r>
      <w:r w:rsidR="00E45130">
        <w:rPr>
          <w:rFonts w:ascii="Arial" w:hAnsi="Arial" w:cs="Arial"/>
          <w:bCs/>
          <w:kern w:val="3"/>
          <w:szCs w:val="24"/>
        </w:rPr>
        <w:t xml:space="preserve">provide </w:t>
      </w:r>
      <w:r w:rsidR="00280807">
        <w:rPr>
          <w:rFonts w:ascii="Arial" w:hAnsi="Arial" w:cs="Arial"/>
          <w:bCs/>
          <w:kern w:val="3"/>
          <w:szCs w:val="24"/>
        </w:rPr>
        <w:t>specific assessments for our children, training</w:t>
      </w:r>
      <w:r w:rsidR="00050058">
        <w:rPr>
          <w:rFonts w:ascii="Arial" w:hAnsi="Arial" w:cs="Arial"/>
          <w:bCs/>
          <w:kern w:val="3"/>
          <w:szCs w:val="24"/>
        </w:rPr>
        <w:t xml:space="preserve"> inputs</w:t>
      </w:r>
      <w:r w:rsidR="00280807">
        <w:rPr>
          <w:rFonts w:ascii="Arial" w:hAnsi="Arial" w:cs="Arial"/>
          <w:bCs/>
          <w:kern w:val="3"/>
          <w:szCs w:val="24"/>
        </w:rPr>
        <w:t xml:space="preserve"> and </w:t>
      </w:r>
      <w:r w:rsidR="00E45130">
        <w:rPr>
          <w:rFonts w:ascii="Arial" w:hAnsi="Arial" w:cs="Arial"/>
          <w:bCs/>
          <w:kern w:val="3"/>
          <w:szCs w:val="24"/>
        </w:rPr>
        <w:t>supervision</w:t>
      </w:r>
      <w:r w:rsidR="00280807">
        <w:rPr>
          <w:rFonts w:ascii="Arial" w:hAnsi="Arial" w:cs="Arial"/>
          <w:bCs/>
          <w:kern w:val="3"/>
          <w:szCs w:val="24"/>
        </w:rPr>
        <w:t xml:space="preserve"> where needed</w:t>
      </w:r>
      <w:r w:rsidR="00E45130">
        <w:rPr>
          <w:rFonts w:ascii="Arial" w:hAnsi="Arial" w:cs="Arial"/>
          <w:bCs/>
          <w:kern w:val="3"/>
          <w:szCs w:val="24"/>
        </w:rPr>
        <w:t xml:space="preserve"> for </w:t>
      </w:r>
      <w:r w:rsidR="00280807">
        <w:rPr>
          <w:rFonts w:ascii="Arial" w:hAnsi="Arial" w:cs="Arial"/>
          <w:bCs/>
          <w:kern w:val="3"/>
          <w:szCs w:val="24"/>
        </w:rPr>
        <w:t>v</w:t>
      </w:r>
      <w:r w:rsidR="00E45130">
        <w:rPr>
          <w:rFonts w:ascii="Arial" w:hAnsi="Arial" w:cs="Arial"/>
          <w:bCs/>
          <w:kern w:val="3"/>
          <w:szCs w:val="24"/>
        </w:rPr>
        <w:t xml:space="preserve">irtual </w:t>
      </w:r>
      <w:r w:rsidR="00280807">
        <w:rPr>
          <w:rFonts w:ascii="Arial" w:hAnsi="Arial" w:cs="Arial"/>
          <w:bCs/>
          <w:kern w:val="3"/>
          <w:szCs w:val="24"/>
        </w:rPr>
        <w:t>s</w:t>
      </w:r>
      <w:r w:rsidR="00E45130">
        <w:rPr>
          <w:rFonts w:ascii="Arial" w:hAnsi="Arial" w:cs="Arial"/>
          <w:bCs/>
          <w:kern w:val="3"/>
          <w:szCs w:val="24"/>
        </w:rPr>
        <w:t>chool staff</w:t>
      </w:r>
      <w:r w:rsidR="00280807">
        <w:rPr>
          <w:rFonts w:ascii="Arial" w:hAnsi="Arial" w:cs="Arial"/>
          <w:bCs/>
          <w:kern w:val="3"/>
          <w:szCs w:val="24"/>
        </w:rPr>
        <w:t>.</w:t>
      </w:r>
    </w:p>
    <w:p w14:paraId="78171770" w14:textId="77777777" w:rsidR="00F624C0" w:rsidRPr="00F624C0" w:rsidRDefault="00F624C0" w:rsidP="00F624C0">
      <w:pPr>
        <w:suppressAutoHyphens/>
        <w:autoSpaceDN w:val="0"/>
        <w:spacing w:before="60" w:line="276" w:lineRule="auto"/>
        <w:ind w:right="-199"/>
        <w:textAlignment w:val="baseline"/>
        <w:rPr>
          <w:rFonts w:ascii="Arial" w:hAnsi="Arial" w:cs="Arial"/>
          <w:bCs/>
          <w:kern w:val="3"/>
          <w:szCs w:val="24"/>
        </w:rPr>
      </w:pPr>
    </w:p>
    <w:p w14:paraId="403F143B" w14:textId="32DC3EF4"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Th</w:t>
      </w:r>
      <w:r>
        <w:rPr>
          <w:rFonts w:ascii="Arial" w:hAnsi="Arial" w:cs="Arial"/>
          <w:szCs w:val="24"/>
        </w:rPr>
        <w:t>e</w:t>
      </w:r>
      <w:r w:rsidRPr="00A419BC">
        <w:rPr>
          <w:rFonts w:ascii="Arial" w:hAnsi="Arial" w:cs="Arial"/>
          <w:szCs w:val="24"/>
        </w:rPr>
        <w:t xml:space="preserve"> Virtual School worked closely with Hampshire Inspection and Advisory Service (HIAS) in 202</w:t>
      </w:r>
      <w:r w:rsidR="00730730">
        <w:rPr>
          <w:rFonts w:ascii="Arial" w:hAnsi="Arial" w:cs="Arial"/>
          <w:szCs w:val="24"/>
        </w:rPr>
        <w:t>4</w:t>
      </w:r>
      <w:r>
        <w:rPr>
          <w:rFonts w:ascii="Arial" w:hAnsi="Arial" w:cs="Arial"/>
          <w:szCs w:val="24"/>
        </w:rPr>
        <w:t>-2</w:t>
      </w:r>
      <w:r w:rsidR="00730730">
        <w:rPr>
          <w:rFonts w:ascii="Arial" w:hAnsi="Arial" w:cs="Arial"/>
          <w:szCs w:val="24"/>
        </w:rPr>
        <w:t>5</w:t>
      </w:r>
      <w:r w:rsidRPr="00A419BC">
        <w:rPr>
          <w:rFonts w:ascii="Arial" w:hAnsi="Arial" w:cs="Arial"/>
          <w:szCs w:val="24"/>
        </w:rPr>
        <w:t xml:space="preserve">, ensuring that expertise and specialism is provided in our service as needed for, school level challenge, </w:t>
      </w:r>
      <w:r>
        <w:rPr>
          <w:rFonts w:ascii="Arial" w:hAnsi="Arial" w:cs="Arial"/>
          <w:szCs w:val="24"/>
        </w:rPr>
        <w:t>project work</w:t>
      </w:r>
      <w:r w:rsidRPr="00A419BC">
        <w:rPr>
          <w:rFonts w:ascii="Arial" w:hAnsi="Arial" w:cs="Arial"/>
          <w:szCs w:val="24"/>
        </w:rPr>
        <w:t>, PEP auditing and a wide range of training.</w:t>
      </w:r>
    </w:p>
    <w:p w14:paraId="569F81B0"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190269A5"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Th</w:t>
      </w:r>
      <w:r>
        <w:rPr>
          <w:rFonts w:ascii="Arial" w:hAnsi="Arial" w:cs="Arial"/>
          <w:szCs w:val="24"/>
        </w:rPr>
        <w:t>e</w:t>
      </w:r>
      <w:r w:rsidRPr="00A419BC">
        <w:rPr>
          <w:rFonts w:ascii="Arial" w:hAnsi="Arial" w:cs="Arial"/>
          <w:szCs w:val="24"/>
        </w:rPr>
        <w:t xml:space="preserve"> Virtual School has worked in partnership with the Ethnic Minority and Traveller Achievement Service (EMTAS</w:t>
      </w:r>
      <w:r>
        <w:rPr>
          <w:rFonts w:ascii="Arial" w:hAnsi="Arial" w:cs="Arial"/>
          <w:szCs w:val="24"/>
        </w:rPr>
        <w:t>)</w:t>
      </w:r>
      <w:r w:rsidRPr="00A419BC">
        <w:rPr>
          <w:rFonts w:ascii="Arial" w:hAnsi="Arial" w:cs="Arial"/>
          <w:szCs w:val="24"/>
        </w:rPr>
        <w:t xml:space="preserve"> to provide our unaccompanied asylum-seeking young people with a language assessment and profile of needs to support their transition into mainstream school. </w:t>
      </w:r>
    </w:p>
    <w:p w14:paraId="4566EF98"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54E2143A" w14:textId="06676C00" w:rsidR="0038233E" w:rsidRP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38233E">
        <w:rPr>
          <w:rFonts w:ascii="Arial" w:hAnsi="Arial" w:cs="Arial"/>
          <w:szCs w:val="24"/>
        </w:rPr>
        <w:t xml:space="preserve">The Virtual School has been proactive in securing resources for our cohort of children in care. For example, arrangements have been made for children in care in the early years to be enrolled in a free book gifting scheme, </w:t>
      </w:r>
      <w:hyperlink r:id="rId18">
        <w:r w:rsidRPr="0038233E">
          <w:rPr>
            <w:rStyle w:val="Hyperlink"/>
            <w:rFonts w:ascii="Arial" w:hAnsi="Arial" w:cs="Arial"/>
            <w:szCs w:val="24"/>
            <w:lang w:val="en-US"/>
          </w:rPr>
          <w:t>Dolly’s Books</w:t>
        </w:r>
      </w:hyperlink>
      <w:r w:rsidRPr="0038233E">
        <w:rPr>
          <w:rStyle w:val="Hyperlink"/>
          <w:rFonts w:ascii="Arial" w:hAnsi="Arial" w:cs="Arial"/>
          <w:szCs w:val="24"/>
          <w:lang w:val="en-US"/>
        </w:rPr>
        <w:t xml:space="preserve"> </w:t>
      </w:r>
      <w:r w:rsidRPr="0038233E">
        <w:rPr>
          <w:rFonts w:ascii="Arial" w:hAnsi="Arial" w:cs="Arial"/>
          <w:szCs w:val="24"/>
        </w:rPr>
        <w:t xml:space="preserve">whereby children receive a high quality, age-appropriate book in the post, free of charge, every month from birth to age five. In addition, </w:t>
      </w:r>
      <w:r w:rsidR="0099547F">
        <w:rPr>
          <w:rFonts w:ascii="Arial" w:hAnsi="Arial" w:cs="Arial"/>
          <w:szCs w:val="24"/>
        </w:rPr>
        <w:t>we have</w:t>
      </w:r>
      <w:r w:rsidRPr="0038233E">
        <w:rPr>
          <w:rFonts w:ascii="Arial" w:hAnsi="Arial" w:cs="Arial"/>
          <w:szCs w:val="24"/>
        </w:rPr>
        <w:t xml:space="preserve"> provide</w:t>
      </w:r>
      <w:r w:rsidR="0099547F">
        <w:rPr>
          <w:rFonts w:ascii="Arial" w:hAnsi="Arial" w:cs="Arial"/>
          <w:szCs w:val="24"/>
        </w:rPr>
        <w:t>d</w:t>
      </w:r>
      <w:r w:rsidRPr="0038233E">
        <w:rPr>
          <w:rFonts w:ascii="Arial" w:hAnsi="Arial" w:cs="Arial"/>
          <w:szCs w:val="24"/>
        </w:rPr>
        <w:t xml:space="preserve"> the ‘Letterbox’ service to specific year groups.</w:t>
      </w:r>
    </w:p>
    <w:p w14:paraId="0C4F90E4" w14:textId="77777777" w:rsidR="0038233E" w:rsidRPr="00F149E8" w:rsidRDefault="0038233E" w:rsidP="0038233E">
      <w:pPr>
        <w:spacing w:before="60" w:line="276" w:lineRule="auto"/>
        <w:ind w:left="567" w:right="-199"/>
        <w:rPr>
          <w:rFonts w:ascii="Arial" w:hAnsi="Arial" w:cs="Arial"/>
          <w:bCs/>
          <w:kern w:val="3"/>
          <w:szCs w:val="24"/>
        </w:rPr>
      </w:pPr>
    </w:p>
    <w:p w14:paraId="11828AD9" w14:textId="77777777" w:rsidR="0038233E" w:rsidRDefault="0038233E" w:rsidP="0038233E">
      <w:pPr>
        <w:spacing w:line="276" w:lineRule="auto"/>
        <w:ind w:right="-199"/>
        <w:rPr>
          <w:rFonts w:ascii="Arial" w:hAnsi="Arial" w:cs="Arial"/>
          <w:b/>
          <w:bCs/>
          <w:kern w:val="3"/>
          <w:szCs w:val="24"/>
        </w:rPr>
      </w:pPr>
      <w:r w:rsidRPr="27F90AB0">
        <w:rPr>
          <w:rFonts w:ascii="Arial" w:hAnsi="Arial" w:cs="Arial"/>
          <w:b/>
          <w:bCs/>
          <w:kern w:val="3"/>
          <w:szCs w:val="24"/>
        </w:rPr>
        <w:t>Educational outcomes for children in care</w:t>
      </w:r>
    </w:p>
    <w:p w14:paraId="6FDBE413"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18019BBD"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kern w:val="3"/>
          <w:szCs w:val="24"/>
        </w:rPr>
        <w:t>As</w:t>
      </w:r>
      <w:r w:rsidRPr="00A419BC">
        <w:rPr>
          <w:rFonts w:ascii="Arial" w:hAnsi="Arial" w:cs="Arial"/>
          <w:b/>
          <w:kern w:val="3"/>
          <w:szCs w:val="24"/>
        </w:rPr>
        <w:t xml:space="preserve"> </w:t>
      </w:r>
      <w:r w:rsidRPr="00A419BC">
        <w:rPr>
          <w:rFonts w:ascii="Arial" w:hAnsi="Arial" w:cs="Arial"/>
          <w:kern w:val="3"/>
          <w:szCs w:val="24"/>
        </w:rPr>
        <w:t xml:space="preserve">outlined, schools in Hampshire and the </w:t>
      </w:r>
      <w:r w:rsidRPr="00A419BC">
        <w:rPr>
          <w:rFonts w:ascii="Arial" w:hAnsi="Arial" w:cs="Arial"/>
          <w:szCs w:val="24"/>
        </w:rPr>
        <w:t xml:space="preserve">Virtual School are committed and determined to further improve the engagement, participation, and achievement in education for Hampshire’s children in care. </w:t>
      </w:r>
    </w:p>
    <w:p w14:paraId="7CB3C7B6"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5231FD6E"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We recognise that it is important to focus on the educational experiences and individual journeys of children, as many have overcome significant challenges arising from complex trauma, emotional and mental health needs, and the wider impact of adverse childhood experiences. </w:t>
      </w:r>
    </w:p>
    <w:p w14:paraId="63125ACB"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5AE994AD" w14:textId="77777777" w:rsidR="006D64F9" w:rsidRPr="00A7343B"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effective use of pupil premium plus funding by both schools and the Virtual School is evidenced in PEPs however Virtual School recognise that educational outcomes for our children and young people in care need to improve further. </w:t>
      </w:r>
    </w:p>
    <w:p w14:paraId="0C7AB7CB"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587E9968" w14:textId="77777777" w:rsidR="00916FA5" w:rsidRPr="00916FA5" w:rsidRDefault="006D64F9" w:rsidP="00916FA5">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kern w:val="3"/>
          <w:szCs w:val="24"/>
        </w:rPr>
        <w:t>The following analysis refers to children in care in the ‘OC2’ or ‘published’ cohort during 202</w:t>
      </w:r>
      <w:r w:rsidR="006968EA">
        <w:rPr>
          <w:rFonts w:ascii="Arial" w:hAnsi="Arial" w:cs="Arial"/>
          <w:kern w:val="3"/>
          <w:szCs w:val="24"/>
        </w:rPr>
        <w:t>3</w:t>
      </w:r>
      <w:r w:rsidRPr="00A419BC">
        <w:rPr>
          <w:rFonts w:ascii="Arial" w:hAnsi="Arial" w:cs="Arial"/>
          <w:kern w:val="3"/>
          <w:szCs w:val="24"/>
        </w:rPr>
        <w:t>-2</w:t>
      </w:r>
      <w:r w:rsidR="006968EA">
        <w:rPr>
          <w:rFonts w:ascii="Arial" w:hAnsi="Arial" w:cs="Arial"/>
          <w:kern w:val="3"/>
          <w:szCs w:val="24"/>
        </w:rPr>
        <w:t>4</w:t>
      </w:r>
      <w:r w:rsidRPr="00A419BC">
        <w:rPr>
          <w:rFonts w:ascii="Arial" w:hAnsi="Arial" w:cs="Arial"/>
          <w:kern w:val="3"/>
          <w:szCs w:val="24"/>
        </w:rPr>
        <w:t xml:space="preserve"> academic year. That is children who have been in care for a year or more as of 31</w:t>
      </w:r>
      <w:r w:rsidRPr="00A419BC">
        <w:rPr>
          <w:rFonts w:ascii="Arial" w:hAnsi="Arial" w:cs="Arial"/>
          <w:kern w:val="3"/>
          <w:szCs w:val="24"/>
          <w:vertAlign w:val="superscript"/>
        </w:rPr>
        <w:t>st</w:t>
      </w:r>
      <w:r w:rsidRPr="00A419BC">
        <w:rPr>
          <w:rFonts w:ascii="Arial" w:hAnsi="Arial" w:cs="Arial"/>
          <w:kern w:val="3"/>
          <w:szCs w:val="24"/>
        </w:rPr>
        <w:t xml:space="preserve"> March 202</w:t>
      </w:r>
      <w:r w:rsidR="006968EA">
        <w:rPr>
          <w:rFonts w:ascii="Arial" w:hAnsi="Arial" w:cs="Arial"/>
          <w:kern w:val="3"/>
          <w:szCs w:val="24"/>
        </w:rPr>
        <w:t>4</w:t>
      </w:r>
      <w:r w:rsidRPr="00A419BC">
        <w:rPr>
          <w:rFonts w:ascii="Arial" w:hAnsi="Arial" w:cs="Arial"/>
          <w:kern w:val="3"/>
          <w:szCs w:val="24"/>
        </w:rPr>
        <w:t>.</w:t>
      </w:r>
    </w:p>
    <w:p w14:paraId="0BD009B8" w14:textId="77777777" w:rsidR="00916FA5" w:rsidRPr="00916FA5" w:rsidRDefault="00916FA5" w:rsidP="00916FA5">
      <w:pPr>
        <w:pStyle w:val="ListParagraph"/>
        <w:rPr>
          <w:rFonts w:ascii="Arial" w:hAnsi="Arial" w:cs="Arial"/>
          <w:szCs w:val="24"/>
        </w:rPr>
      </w:pPr>
    </w:p>
    <w:p w14:paraId="04E8EFDB" w14:textId="6B593622" w:rsidR="00437AE1" w:rsidRPr="00916FA5" w:rsidRDefault="00437AE1" w:rsidP="00916FA5">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916FA5">
        <w:rPr>
          <w:rFonts w:ascii="Arial" w:hAnsi="Arial" w:cs="Arial"/>
          <w:szCs w:val="24"/>
        </w:rPr>
        <w:lastRenderedPageBreak/>
        <w:t xml:space="preserve">The table below shows GLD attainment for the OC2 cohort. This data includes all HCC </w:t>
      </w:r>
      <w:proofErr w:type="spellStart"/>
      <w:r w:rsidRPr="00916FA5">
        <w:rPr>
          <w:rFonts w:ascii="Arial" w:hAnsi="Arial" w:cs="Arial"/>
          <w:szCs w:val="24"/>
        </w:rPr>
        <w:t>CiC</w:t>
      </w:r>
      <w:proofErr w:type="spellEnd"/>
      <w:r w:rsidRPr="00916FA5">
        <w:rPr>
          <w:rFonts w:ascii="Arial" w:hAnsi="Arial" w:cs="Arial"/>
          <w:szCs w:val="24"/>
        </w:rPr>
        <w:t xml:space="preserve"> at 31-Mar of the exam year as submitted in the SSDA903, attending both HCC and Out of County (OOC) schools (with available attainment data in Nexus).</w:t>
      </w:r>
    </w:p>
    <w:p w14:paraId="77464573" w14:textId="77777777" w:rsidR="00437AE1" w:rsidRDefault="00437AE1" w:rsidP="00437AE1">
      <w:pPr>
        <w:pStyle w:val="ListParagraph"/>
        <w:spacing w:line="276" w:lineRule="auto"/>
        <w:ind w:left="644"/>
        <w:rPr>
          <w:rFonts w:ascii="Arial" w:hAnsi="Arial" w:cs="Arial"/>
          <w:szCs w:val="24"/>
        </w:rPr>
      </w:pPr>
    </w:p>
    <w:tbl>
      <w:tblPr>
        <w:tblW w:w="4340"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40"/>
        <w:gridCol w:w="1440"/>
      </w:tblGrid>
      <w:tr w:rsidR="00437AE1" w:rsidRPr="00BE281D" w14:paraId="68D7093B" w14:textId="77777777" w:rsidTr="00F6165B">
        <w:trPr>
          <w:trHeight w:val="260"/>
        </w:trPr>
        <w:tc>
          <w:tcPr>
            <w:tcW w:w="1460" w:type="dxa"/>
            <w:vMerge w:val="restart"/>
            <w:shd w:val="clear" w:color="000000" w:fill="F8CBAD"/>
            <w:hideMark/>
          </w:tcPr>
          <w:p w14:paraId="5DE34303" w14:textId="77777777" w:rsidR="00437AE1" w:rsidRPr="00B509E0" w:rsidRDefault="00437AE1" w:rsidP="00F6165B">
            <w:pPr>
              <w:rPr>
                <w:rFonts w:ascii="Arial" w:hAnsi="Arial" w:cs="Arial"/>
                <w:b/>
                <w:bCs/>
                <w:color w:val="000000"/>
                <w:szCs w:val="24"/>
                <w:lang w:eastAsia="en-GB"/>
              </w:rPr>
            </w:pPr>
            <w:r w:rsidRPr="00B509E0">
              <w:rPr>
                <w:rFonts w:ascii="Arial" w:hAnsi="Arial" w:cs="Arial"/>
                <w:b/>
                <w:bCs/>
                <w:color w:val="000000"/>
                <w:szCs w:val="24"/>
                <w:lang w:eastAsia="en-GB"/>
              </w:rPr>
              <w:t>Exam Year</w:t>
            </w:r>
          </w:p>
        </w:tc>
        <w:tc>
          <w:tcPr>
            <w:tcW w:w="2880" w:type="dxa"/>
            <w:gridSpan w:val="2"/>
            <w:shd w:val="clear" w:color="000000" w:fill="FFD966"/>
            <w:vAlign w:val="center"/>
            <w:hideMark/>
          </w:tcPr>
          <w:p w14:paraId="728EBC34" w14:textId="77777777" w:rsidR="00437AE1" w:rsidRPr="00B509E0" w:rsidRDefault="00437AE1" w:rsidP="00F6165B">
            <w:pPr>
              <w:jc w:val="center"/>
              <w:rPr>
                <w:rFonts w:ascii="Arial" w:hAnsi="Arial" w:cs="Arial"/>
                <w:b/>
                <w:bCs/>
                <w:szCs w:val="24"/>
                <w:lang w:eastAsia="en-GB"/>
              </w:rPr>
            </w:pPr>
            <w:r w:rsidRPr="00B509E0">
              <w:rPr>
                <w:rFonts w:ascii="Arial" w:hAnsi="Arial" w:cs="Arial"/>
                <w:b/>
                <w:bCs/>
                <w:szCs w:val="24"/>
                <w:lang w:eastAsia="en-GB"/>
              </w:rPr>
              <w:t>GLD</w:t>
            </w:r>
          </w:p>
        </w:tc>
      </w:tr>
      <w:tr w:rsidR="00437AE1" w:rsidRPr="00BE281D" w14:paraId="2D95CE82" w14:textId="77777777" w:rsidTr="00F6165B">
        <w:trPr>
          <w:trHeight w:val="250"/>
        </w:trPr>
        <w:tc>
          <w:tcPr>
            <w:tcW w:w="1460" w:type="dxa"/>
            <w:vMerge/>
            <w:vAlign w:val="center"/>
            <w:hideMark/>
          </w:tcPr>
          <w:p w14:paraId="1C89FD78" w14:textId="77777777" w:rsidR="00437AE1" w:rsidRPr="00B509E0" w:rsidRDefault="00437AE1" w:rsidP="00F6165B">
            <w:pPr>
              <w:rPr>
                <w:rFonts w:ascii="Arial" w:hAnsi="Arial" w:cs="Arial"/>
                <w:b/>
                <w:bCs/>
                <w:color w:val="000000"/>
                <w:szCs w:val="24"/>
                <w:lang w:eastAsia="en-GB"/>
              </w:rPr>
            </w:pPr>
          </w:p>
        </w:tc>
        <w:tc>
          <w:tcPr>
            <w:tcW w:w="1440" w:type="dxa"/>
            <w:shd w:val="clear" w:color="000000" w:fill="FFD966"/>
            <w:hideMark/>
          </w:tcPr>
          <w:p w14:paraId="74CDA0AF"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w:t>
            </w:r>
          </w:p>
        </w:tc>
        <w:tc>
          <w:tcPr>
            <w:tcW w:w="1440" w:type="dxa"/>
            <w:shd w:val="clear" w:color="000000" w:fill="FFD966"/>
            <w:hideMark/>
          </w:tcPr>
          <w:p w14:paraId="0F9A4D57"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w:t>
            </w:r>
          </w:p>
        </w:tc>
      </w:tr>
      <w:tr w:rsidR="00437AE1" w:rsidRPr="00BE281D" w14:paraId="49C2AB22" w14:textId="77777777" w:rsidTr="00F6165B">
        <w:trPr>
          <w:trHeight w:val="250"/>
        </w:trPr>
        <w:tc>
          <w:tcPr>
            <w:tcW w:w="1460" w:type="dxa"/>
            <w:vMerge/>
            <w:vAlign w:val="center"/>
            <w:hideMark/>
          </w:tcPr>
          <w:p w14:paraId="67202B23" w14:textId="77777777" w:rsidR="00437AE1" w:rsidRPr="00B509E0" w:rsidRDefault="00437AE1" w:rsidP="00F6165B">
            <w:pPr>
              <w:rPr>
                <w:rFonts w:ascii="Arial" w:hAnsi="Arial" w:cs="Arial"/>
                <w:b/>
                <w:bCs/>
                <w:color w:val="000000"/>
                <w:szCs w:val="24"/>
                <w:lang w:eastAsia="en-GB"/>
              </w:rPr>
            </w:pPr>
          </w:p>
        </w:tc>
        <w:tc>
          <w:tcPr>
            <w:tcW w:w="1440" w:type="dxa"/>
            <w:shd w:val="clear" w:color="000000" w:fill="BFBFBF"/>
            <w:hideMark/>
          </w:tcPr>
          <w:p w14:paraId="5823DCB8"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National</w:t>
            </w:r>
          </w:p>
        </w:tc>
        <w:tc>
          <w:tcPr>
            <w:tcW w:w="1440" w:type="dxa"/>
            <w:shd w:val="clear" w:color="000000" w:fill="FFD966"/>
            <w:hideMark/>
          </w:tcPr>
          <w:p w14:paraId="72D7541C"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HCC</w:t>
            </w:r>
          </w:p>
        </w:tc>
      </w:tr>
      <w:tr w:rsidR="00437AE1" w:rsidRPr="00BE281D" w14:paraId="4CB9F1ED" w14:textId="77777777" w:rsidTr="00F6165B">
        <w:trPr>
          <w:trHeight w:val="250"/>
        </w:trPr>
        <w:tc>
          <w:tcPr>
            <w:tcW w:w="1460" w:type="dxa"/>
            <w:shd w:val="clear" w:color="auto" w:fill="auto"/>
            <w:noWrap/>
            <w:vAlign w:val="bottom"/>
          </w:tcPr>
          <w:p w14:paraId="4C2C2605" w14:textId="77777777" w:rsidR="00437AE1" w:rsidRPr="00B509E0" w:rsidRDefault="00437AE1" w:rsidP="00F6165B">
            <w:pPr>
              <w:rPr>
                <w:rFonts w:ascii="Arial" w:hAnsi="Arial" w:cs="Arial"/>
                <w:b/>
                <w:bCs/>
                <w:color w:val="000000"/>
                <w:szCs w:val="24"/>
                <w:lang w:eastAsia="en-GB"/>
              </w:rPr>
            </w:pPr>
            <w:r>
              <w:rPr>
                <w:rFonts w:ascii="Arial" w:hAnsi="Arial" w:cs="Arial"/>
                <w:b/>
                <w:bCs/>
                <w:color w:val="000000"/>
                <w:szCs w:val="24"/>
                <w:lang w:eastAsia="en-GB"/>
              </w:rPr>
              <w:t>2024</w:t>
            </w:r>
          </w:p>
        </w:tc>
        <w:tc>
          <w:tcPr>
            <w:tcW w:w="1440" w:type="dxa"/>
            <w:shd w:val="clear" w:color="000000" w:fill="BFBFBF"/>
            <w:noWrap/>
            <w:vAlign w:val="bottom"/>
          </w:tcPr>
          <w:p w14:paraId="54BB7285" w14:textId="77777777" w:rsidR="00437AE1" w:rsidRPr="00B509E0" w:rsidRDefault="00437AE1" w:rsidP="00F6165B">
            <w:pPr>
              <w:jc w:val="center"/>
              <w:rPr>
                <w:rFonts w:ascii="Arial" w:hAnsi="Arial" w:cs="Arial"/>
                <w:b/>
                <w:bCs/>
                <w:color w:val="000000"/>
                <w:szCs w:val="24"/>
                <w:lang w:eastAsia="en-GB"/>
              </w:rPr>
            </w:pPr>
            <w:r>
              <w:rPr>
                <w:rFonts w:ascii="Arial" w:hAnsi="Arial" w:cs="Arial"/>
                <w:b/>
                <w:bCs/>
                <w:color w:val="000000"/>
                <w:szCs w:val="24"/>
                <w:lang w:eastAsia="en-GB"/>
              </w:rPr>
              <w:t>39.0%</w:t>
            </w:r>
          </w:p>
        </w:tc>
        <w:tc>
          <w:tcPr>
            <w:tcW w:w="1440" w:type="dxa"/>
            <w:shd w:val="clear" w:color="auto" w:fill="auto"/>
            <w:noWrap/>
            <w:vAlign w:val="bottom"/>
          </w:tcPr>
          <w:p w14:paraId="362536F4" w14:textId="77777777" w:rsidR="00437AE1" w:rsidRPr="00B509E0" w:rsidRDefault="00437AE1" w:rsidP="00F6165B">
            <w:pPr>
              <w:jc w:val="center"/>
              <w:rPr>
                <w:rFonts w:ascii="Arial" w:hAnsi="Arial" w:cs="Arial"/>
                <w:b/>
                <w:bCs/>
                <w:color w:val="000000"/>
                <w:szCs w:val="24"/>
                <w:lang w:eastAsia="en-GB"/>
              </w:rPr>
            </w:pPr>
            <w:r>
              <w:rPr>
                <w:rFonts w:ascii="Arial" w:hAnsi="Arial" w:cs="Arial"/>
                <w:b/>
                <w:bCs/>
                <w:color w:val="000000"/>
                <w:szCs w:val="24"/>
                <w:lang w:eastAsia="en-GB"/>
              </w:rPr>
              <w:t>36.7%</w:t>
            </w:r>
          </w:p>
        </w:tc>
      </w:tr>
      <w:tr w:rsidR="00437AE1" w:rsidRPr="00BE281D" w14:paraId="27617E20" w14:textId="77777777" w:rsidTr="00F6165B">
        <w:trPr>
          <w:trHeight w:val="250"/>
        </w:trPr>
        <w:tc>
          <w:tcPr>
            <w:tcW w:w="1460" w:type="dxa"/>
            <w:shd w:val="clear" w:color="auto" w:fill="auto"/>
            <w:noWrap/>
            <w:vAlign w:val="bottom"/>
            <w:hideMark/>
          </w:tcPr>
          <w:p w14:paraId="1482EF49" w14:textId="77777777" w:rsidR="00437AE1" w:rsidRPr="00530302" w:rsidRDefault="00437AE1" w:rsidP="00F6165B">
            <w:pPr>
              <w:rPr>
                <w:rFonts w:ascii="Arial" w:hAnsi="Arial" w:cs="Arial"/>
                <w:color w:val="000000"/>
                <w:szCs w:val="24"/>
                <w:lang w:eastAsia="en-GB"/>
              </w:rPr>
            </w:pPr>
            <w:r w:rsidRPr="00530302">
              <w:rPr>
                <w:rFonts w:ascii="Arial" w:hAnsi="Arial" w:cs="Arial"/>
                <w:color w:val="000000"/>
                <w:szCs w:val="24"/>
                <w:lang w:eastAsia="en-GB"/>
              </w:rPr>
              <w:t>2023</w:t>
            </w:r>
          </w:p>
        </w:tc>
        <w:tc>
          <w:tcPr>
            <w:tcW w:w="1440" w:type="dxa"/>
            <w:shd w:val="clear" w:color="000000" w:fill="BFBFBF"/>
            <w:noWrap/>
            <w:vAlign w:val="bottom"/>
            <w:hideMark/>
          </w:tcPr>
          <w:p w14:paraId="7E22835B" w14:textId="77777777" w:rsidR="00437AE1" w:rsidRPr="00530302" w:rsidRDefault="00437AE1" w:rsidP="00F6165B">
            <w:pPr>
              <w:jc w:val="center"/>
              <w:rPr>
                <w:rFonts w:ascii="Arial" w:hAnsi="Arial" w:cs="Arial"/>
                <w:color w:val="000000"/>
                <w:szCs w:val="24"/>
                <w:lang w:eastAsia="en-GB"/>
              </w:rPr>
            </w:pPr>
            <w:r w:rsidRPr="00530302">
              <w:rPr>
                <w:rFonts w:ascii="Arial" w:hAnsi="Arial" w:cs="Arial"/>
                <w:color w:val="000000"/>
                <w:szCs w:val="24"/>
                <w:lang w:eastAsia="en-GB"/>
              </w:rPr>
              <w:t>41.0%</w:t>
            </w:r>
          </w:p>
        </w:tc>
        <w:tc>
          <w:tcPr>
            <w:tcW w:w="1440" w:type="dxa"/>
            <w:shd w:val="clear" w:color="auto" w:fill="auto"/>
            <w:noWrap/>
            <w:vAlign w:val="bottom"/>
            <w:hideMark/>
          </w:tcPr>
          <w:p w14:paraId="0D1630F9" w14:textId="77777777" w:rsidR="00437AE1" w:rsidRPr="00530302" w:rsidRDefault="00437AE1" w:rsidP="00F6165B">
            <w:pPr>
              <w:jc w:val="center"/>
              <w:rPr>
                <w:rFonts w:ascii="Arial" w:hAnsi="Arial" w:cs="Arial"/>
                <w:color w:val="000000"/>
                <w:szCs w:val="24"/>
                <w:lang w:eastAsia="en-GB"/>
              </w:rPr>
            </w:pPr>
            <w:r w:rsidRPr="00530302">
              <w:rPr>
                <w:rFonts w:ascii="Arial" w:hAnsi="Arial" w:cs="Arial"/>
                <w:color w:val="000000"/>
                <w:szCs w:val="24"/>
                <w:lang w:eastAsia="en-GB"/>
              </w:rPr>
              <w:t>42.9%</w:t>
            </w:r>
          </w:p>
        </w:tc>
      </w:tr>
      <w:tr w:rsidR="00437AE1" w:rsidRPr="00BE281D" w14:paraId="5F5B8800" w14:textId="77777777" w:rsidTr="00F6165B">
        <w:trPr>
          <w:trHeight w:val="250"/>
        </w:trPr>
        <w:tc>
          <w:tcPr>
            <w:tcW w:w="1460" w:type="dxa"/>
            <w:shd w:val="clear" w:color="auto" w:fill="auto"/>
            <w:noWrap/>
            <w:vAlign w:val="bottom"/>
            <w:hideMark/>
          </w:tcPr>
          <w:p w14:paraId="623057E8" w14:textId="77777777" w:rsidR="00437AE1" w:rsidRPr="00B509E0" w:rsidRDefault="00437AE1" w:rsidP="00F6165B">
            <w:pPr>
              <w:rPr>
                <w:rFonts w:ascii="Arial" w:hAnsi="Arial" w:cs="Arial"/>
                <w:color w:val="000000"/>
                <w:szCs w:val="24"/>
                <w:lang w:eastAsia="en-GB"/>
              </w:rPr>
            </w:pPr>
            <w:r w:rsidRPr="00B509E0">
              <w:rPr>
                <w:rFonts w:ascii="Arial" w:hAnsi="Arial" w:cs="Arial"/>
                <w:color w:val="000000"/>
                <w:szCs w:val="24"/>
                <w:lang w:eastAsia="en-GB"/>
              </w:rPr>
              <w:t>2022</w:t>
            </w:r>
          </w:p>
        </w:tc>
        <w:tc>
          <w:tcPr>
            <w:tcW w:w="1440" w:type="dxa"/>
            <w:shd w:val="clear" w:color="000000" w:fill="BFBFBF"/>
            <w:noWrap/>
            <w:vAlign w:val="bottom"/>
            <w:hideMark/>
          </w:tcPr>
          <w:p w14:paraId="73A947A7"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40.0%</w:t>
            </w:r>
          </w:p>
        </w:tc>
        <w:tc>
          <w:tcPr>
            <w:tcW w:w="1440" w:type="dxa"/>
            <w:shd w:val="clear" w:color="auto" w:fill="auto"/>
            <w:noWrap/>
            <w:vAlign w:val="bottom"/>
            <w:hideMark/>
          </w:tcPr>
          <w:p w14:paraId="402ED2D8" w14:textId="77777777" w:rsidR="00437AE1" w:rsidRPr="00B509E0" w:rsidRDefault="00437AE1" w:rsidP="00F6165B">
            <w:pPr>
              <w:jc w:val="center"/>
              <w:rPr>
                <w:rFonts w:ascii="Arial" w:hAnsi="Arial" w:cs="Arial"/>
                <w:color w:val="000000"/>
                <w:szCs w:val="24"/>
                <w:lang w:eastAsia="en-GB"/>
              </w:rPr>
            </w:pPr>
            <w:r w:rsidRPr="00B509E0">
              <w:rPr>
                <w:rFonts w:ascii="Arial" w:hAnsi="Arial" w:cs="Arial"/>
                <w:color w:val="000000"/>
                <w:szCs w:val="24"/>
                <w:lang w:eastAsia="en-GB"/>
              </w:rPr>
              <w:t>41.4%</w:t>
            </w:r>
          </w:p>
        </w:tc>
      </w:tr>
    </w:tbl>
    <w:p w14:paraId="4CA804F4" w14:textId="77777777" w:rsidR="000C3E4B" w:rsidRDefault="000C3E4B" w:rsidP="000C3E4B">
      <w:pPr>
        <w:pStyle w:val="ListParagraph"/>
        <w:spacing w:line="276" w:lineRule="auto"/>
        <w:ind w:left="567"/>
        <w:rPr>
          <w:rFonts w:ascii="Arial" w:hAnsi="Arial" w:cs="Arial"/>
          <w:szCs w:val="24"/>
        </w:rPr>
      </w:pPr>
    </w:p>
    <w:p w14:paraId="1C1338B1" w14:textId="77777777" w:rsidR="006D5618" w:rsidRDefault="008F7B6E" w:rsidP="006D5618">
      <w:pPr>
        <w:pStyle w:val="ListParagraph"/>
        <w:numPr>
          <w:ilvl w:val="0"/>
          <w:numId w:val="23"/>
        </w:numPr>
        <w:spacing w:line="276" w:lineRule="auto"/>
        <w:rPr>
          <w:rFonts w:ascii="Arial" w:hAnsi="Arial" w:cs="Arial"/>
          <w:szCs w:val="24"/>
        </w:rPr>
      </w:pPr>
      <w:r>
        <w:rPr>
          <w:rFonts w:ascii="Arial" w:hAnsi="Arial" w:cs="Arial"/>
          <w:szCs w:val="24"/>
        </w:rPr>
        <w:t>In 2024</w:t>
      </w:r>
      <w:r w:rsidR="008743EB">
        <w:rPr>
          <w:rFonts w:ascii="Arial" w:hAnsi="Arial" w:cs="Arial"/>
          <w:szCs w:val="24"/>
        </w:rPr>
        <w:t xml:space="preserve">, within the Early Years Foundation Stage, </w:t>
      </w:r>
      <w:r w:rsidR="008743EB" w:rsidRPr="00D77E70">
        <w:rPr>
          <w:rFonts w:ascii="Arial" w:hAnsi="Arial" w:cs="Arial"/>
          <w:szCs w:val="24"/>
        </w:rPr>
        <w:t>GLD (Good Level of Development)</w:t>
      </w:r>
      <w:r w:rsidR="008743EB">
        <w:rPr>
          <w:rFonts w:ascii="Arial" w:hAnsi="Arial" w:cs="Arial"/>
          <w:szCs w:val="24"/>
        </w:rPr>
        <w:t xml:space="preserve"> is </w:t>
      </w:r>
      <w:r w:rsidR="00505571">
        <w:rPr>
          <w:rFonts w:ascii="Arial" w:hAnsi="Arial" w:cs="Arial"/>
          <w:szCs w:val="24"/>
        </w:rPr>
        <w:t xml:space="preserve">36.7%, 2.3% </w:t>
      </w:r>
      <w:r>
        <w:rPr>
          <w:rFonts w:ascii="Arial" w:hAnsi="Arial" w:cs="Arial"/>
          <w:szCs w:val="24"/>
        </w:rPr>
        <w:t>below</w:t>
      </w:r>
      <w:r w:rsidRPr="00821256">
        <w:rPr>
          <w:rFonts w:ascii="Arial" w:hAnsi="Arial" w:cs="Arial"/>
          <w:szCs w:val="24"/>
        </w:rPr>
        <w:t xml:space="preserve"> National</w:t>
      </w:r>
      <w:r w:rsidR="009D1ADF">
        <w:rPr>
          <w:rFonts w:ascii="Arial" w:hAnsi="Arial" w:cs="Arial"/>
          <w:szCs w:val="24"/>
        </w:rPr>
        <w:t xml:space="preserve"> </w:t>
      </w:r>
      <w:r w:rsidR="00485EE4">
        <w:rPr>
          <w:rFonts w:ascii="Arial" w:hAnsi="Arial" w:cs="Arial"/>
          <w:szCs w:val="24"/>
        </w:rPr>
        <w:t xml:space="preserve">CLA </w:t>
      </w:r>
      <w:r w:rsidRPr="00821256">
        <w:rPr>
          <w:rFonts w:ascii="Arial" w:hAnsi="Arial" w:cs="Arial"/>
          <w:szCs w:val="24"/>
        </w:rPr>
        <w:t xml:space="preserve">by </w:t>
      </w:r>
      <w:r>
        <w:rPr>
          <w:rFonts w:ascii="Arial" w:hAnsi="Arial" w:cs="Arial"/>
          <w:szCs w:val="24"/>
        </w:rPr>
        <w:t>2.3%, however above those</w:t>
      </w:r>
      <w:r w:rsidRPr="00821256">
        <w:rPr>
          <w:rFonts w:ascii="Arial" w:hAnsi="Arial" w:cs="Arial"/>
          <w:szCs w:val="24"/>
        </w:rPr>
        <w:t xml:space="preserve"> in the </w:t>
      </w:r>
      <w:r w:rsidRPr="00234347">
        <w:rPr>
          <w:rFonts w:ascii="Arial" w:hAnsi="Arial" w:cs="Arial"/>
          <w:szCs w:val="24"/>
        </w:rPr>
        <w:t>South-East Region by 3.7%.</w:t>
      </w:r>
      <w:r w:rsidR="00485EE4">
        <w:rPr>
          <w:rFonts w:ascii="Arial" w:hAnsi="Arial" w:cs="Arial"/>
          <w:szCs w:val="24"/>
        </w:rPr>
        <w:t xml:space="preserve"> </w:t>
      </w:r>
      <w:r w:rsidR="00485EE4" w:rsidRPr="615B0D84">
        <w:rPr>
          <w:rFonts w:ascii="Arial" w:hAnsi="Arial" w:cs="Arial"/>
          <w:szCs w:val="24"/>
        </w:rPr>
        <w:t>GLD is broken down into the three prime areas of Communication and Language, Personal Social Emotional Development (PSED) and Physical Development and two specific areas, Literacy and Maths. Our children in care performed better than national CLA in the prime goals of communication and language, PSED and physical development by 7.3% and in the specific area of mathematics by 18.3%, however in literacy was 3% below national CLA.</w:t>
      </w:r>
    </w:p>
    <w:p w14:paraId="517CCC5D" w14:textId="77777777" w:rsidR="006D5618" w:rsidRDefault="006D5618" w:rsidP="006D5618">
      <w:pPr>
        <w:pStyle w:val="ListParagraph"/>
        <w:spacing w:line="276" w:lineRule="auto"/>
        <w:ind w:left="567"/>
        <w:rPr>
          <w:rFonts w:ascii="Arial" w:hAnsi="Arial" w:cs="Arial"/>
          <w:szCs w:val="24"/>
        </w:rPr>
      </w:pPr>
    </w:p>
    <w:p w14:paraId="535AFBDD" w14:textId="6747A975" w:rsidR="006D5618" w:rsidRPr="006D5618" w:rsidRDefault="006D5618" w:rsidP="006D5618">
      <w:pPr>
        <w:pStyle w:val="ListParagraph"/>
        <w:numPr>
          <w:ilvl w:val="0"/>
          <w:numId w:val="23"/>
        </w:numPr>
        <w:spacing w:line="276" w:lineRule="auto"/>
        <w:rPr>
          <w:rFonts w:ascii="Arial" w:hAnsi="Arial" w:cs="Arial"/>
          <w:szCs w:val="24"/>
        </w:rPr>
      </w:pPr>
      <w:r w:rsidRPr="006D5618">
        <w:rPr>
          <w:rFonts w:ascii="Arial" w:hAnsi="Arial" w:cs="Arial"/>
          <w:szCs w:val="24"/>
          <w:lang w:eastAsia="en-GB"/>
        </w:rPr>
        <w:t xml:space="preserve">The data below presents </w:t>
      </w:r>
      <w:r w:rsidR="0024614C">
        <w:rPr>
          <w:rFonts w:ascii="Arial" w:hAnsi="Arial" w:cs="Arial"/>
          <w:szCs w:val="24"/>
          <w:lang w:eastAsia="en-GB"/>
        </w:rPr>
        <w:t xml:space="preserve">phonics </w:t>
      </w:r>
      <w:r w:rsidRPr="006D5618">
        <w:rPr>
          <w:rFonts w:ascii="Arial" w:hAnsi="Arial" w:cs="Arial"/>
          <w:szCs w:val="24"/>
          <w:lang w:eastAsia="en-GB"/>
        </w:rPr>
        <w:t>data for HCC Children in Care (</w:t>
      </w:r>
      <w:proofErr w:type="spellStart"/>
      <w:r w:rsidRPr="006D5618">
        <w:rPr>
          <w:rFonts w:ascii="Arial" w:hAnsi="Arial" w:cs="Arial"/>
          <w:szCs w:val="24"/>
          <w:lang w:eastAsia="en-GB"/>
        </w:rPr>
        <w:t>CiC</w:t>
      </w:r>
      <w:proofErr w:type="spellEnd"/>
      <w:r w:rsidRPr="006D5618">
        <w:rPr>
          <w:rFonts w:ascii="Arial" w:hAnsi="Arial" w:cs="Arial"/>
          <w:szCs w:val="24"/>
          <w:lang w:eastAsia="en-GB"/>
        </w:rPr>
        <w:t>) in Year 1 and 2.</w:t>
      </w:r>
      <w:r w:rsidRPr="006D5618">
        <w:rPr>
          <w:rFonts w:ascii="Arial" w:hAnsi="Arial" w:cs="Arial"/>
          <w:szCs w:val="24"/>
        </w:rPr>
        <w:t xml:space="preserve"> Data is collated and presented by the Data and Information Team, (last updated 13 August 2024) and sourced from Nexus.</w:t>
      </w:r>
    </w:p>
    <w:p w14:paraId="647D3A3B" w14:textId="77777777" w:rsidR="006D5618" w:rsidRDefault="006D5618" w:rsidP="006D5618">
      <w:pPr>
        <w:pStyle w:val="ListParagraph"/>
        <w:spacing w:line="276" w:lineRule="auto"/>
        <w:ind w:left="644"/>
        <w:rPr>
          <w:rFonts w:ascii="Arial" w:hAnsi="Arial" w:cs="Arial"/>
          <w:szCs w:val="24"/>
          <w:highlight w:val="yellow"/>
        </w:rPr>
      </w:pPr>
    </w:p>
    <w:tbl>
      <w:tblPr>
        <w:tblW w:w="4800" w:type="dxa"/>
        <w:tblInd w:w="729" w:type="dxa"/>
        <w:tblLook w:val="04A0" w:firstRow="1" w:lastRow="0" w:firstColumn="1" w:lastColumn="0" w:noHBand="0" w:noVBand="1"/>
      </w:tblPr>
      <w:tblGrid>
        <w:gridCol w:w="960"/>
        <w:gridCol w:w="960"/>
        <w:gridCol w:w="960"/>
        <w:gridCol w:w="960"/>
        <w:gridCol w:w="960"/>
      </w:tblGrid>
      <w:tr w:rsidR="006D5618" w:rsidRPr="00496F34" w14:paraId="1375A6EB" w14:textId="77777777" w:rsidTr="00F6165B">
        <w:trPr>
          <w:trHeight w:val="26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8CBAD"/>
            <w:hideMark/>
          </w:tcPr>
          <w:p w14:paraId="332FC752" w14:textId="77777777" w:rsidR="006D5618" w:rsidRPr="00496F34" w:rsidRDefault="006D5618" w:rsidP="00F6165B">
            <w:pPr>
              <w:rPr>
                <w:rFonts w:ascii="Arial" w:hAnsi="Arial" w:cs="Arial"/>
                <w:b/>
                <w:bCs/>
                <w:color w:val="000000"/>
                <w:sz w:val="20"/>
                <w:lang w:eastAsia="en-GB"/>
              </w:rPr>
            </w:pPr>
            <w:r w:rsidRPr="00496F34">
              <w:rPr>
                <w:rFonts w:ascii="Arial" w:hAnsi="Arial" w:cs="Arial"/>
                <w:b/>
                <w:bCs/>
                <w:color w:val="000000"/>
                <w:sz w:val="20"/>
                <w:lang w:eastAsia="en-GB"/>
              </w:rPr>
              <w:t>Exam Year</w:t>
            </w:r>
          </w:p>
        </w:tc>
        <w:tc>
          <w:tcPr>
            <w:tcW w:w="1920" w:type="dxa"/>
            <w:gridSpan w:val="2"/>
            <w:tcBorders>
              <w:top w:val="single" w:sz="4" w:space="0" w:color="auto"/>
              <w:left w:val="nil"/>
              <w:bottom w:val="single" w:sz="4" w:space="0" w:color="auto"/>
              <w:right w:val="nil"/>
            </w:tcBorders>
            <w:shd w:val="clear" w:color="000000" w:fill="C6E0B4"/>
            <w:vAlign w:val="center"/>
            <w:hideMark/>
          </w:tcPr>
          <w:p w14:paraId="4AFE5F1E" w14:textId="77777777" w:rsidR="006D5618" w:rsidRPr="00496F34" w:rsidRDefault="006D5618" w:rsidP="00F6165B">
            <w:pPr>
              <w:jc w:val="center"/>
              <w:rPr>
                <w:rFonts w:ascii="Arial" w:hAnsi="Arial" w:cs="Arial"/>
                <w:b/>
                <w:bCs/>
                <w:sz w:val="20"/>
                <w:lang w:eastAsia="en-GB"/>
              </w:rPr>
            </w:pPr>
            <w:r w:rsidRPr="00496F34">
              <w:rPr>
                <w:rFonts w:ascii="Arial" w:hAnsi="Arial" w:cs="Arial"/>
                <w:b/>
                <w:bCs/>
                <w:sz w:val="20"/>
                <w:lang w:eastAsia="en-GB"/>
              </w:rPr>
              <w:t>Year 1</w:t>
            </w:r>
          </w:p>
        </w:tc>
        <w:tc>
          <w:tcPr>
            <w:tcW w:w="1920" w:type="dxa"/>
            <w:gridSpan w:val="2"/>
            <w:tcBorders>
              <w:top w:val="single" w:sz="4" w:space="0" w:color="auto"/>
              <w:left w:val="nil"/>
              <w:bottom w:val="single" w:sz="4" w:space="0" w:color="auto"/>
              <w:right w:val="nil"/>
            </w:tcBorders>
            <w:shd w:val="clear" w:color="000000" w:fill="CC99FF"/>
            <w:noWrap/>
            <w:hideMark/>
          </w:tcPr>
          <w:p w14:paraId="1B93E2EF" w14:textId="77777777" w:rsidR="006D5618" w:rsidRPr="00496F34" w:rsidRDefault="006D5618" w:rsidP="00F6165B">
            <w:pPr>
              <w:jc w:val="center"/>
              <w:rPr>
                <w:rFonts w:ascii="Arial" w:hAnsi="Arial" w:cs="Arial"/>
                <w:b/>
                <w:bCs/>
                <w:color w:val="000000"/>
                <w:sz w:val="20"/>
                <w:lang w:eastAsia="en-GB"/>
              </w:rPr>
            </w:pPr>
            <w:r w:rsidRPr="00496F34">
              <w:rPr>
                <w:rFonts w:ascii="Arial" w:hAnsi="Arial" w:cs="Arial"/>
                <w:b/>
                <w:bCs/>
                <w:color w:val="000000"/>
                <w:sz w:val="20"/>
                <w:lang w:eastAsia="en-GB"/>
              </w:rPr>
              <w:t>Year 2</w:t>
            </w:r>
          </w:p>
        </w:tc>
      </w:tr>
      <w:tr w:rsidR="006D5618" w:rsidRPr="00496F34" w14:paraId="07415F9B" w14:textId="77777777" w:rsidTr="00F6165B">
        <w:trPr>
          <w:trHeight w:val="381"/>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39152C6" w14:textId="77777777" w:rsidR="006D5618" w:rsidRPr="00496F34" w:rsidRDefault="006D5618" w:rsidP="00F6165B">
            <w:pPr>
              <w:rPr>
                <w:rFonts w:ascii="Arial" w:hAnsi="Arial" w:cs="Arial"/>
                <w:b/>
                <w:bCs/>
                <w:color w:val="000000"/>
                <w:sz w:val="20"/>
                <w:lang w:eastAsia="en-GB"/>
              </w:rPr>
            </w:pPr>
          </w:p>
        </w:tc>
        <w:tc>
          <w:tcPr>
            <w:tcW w:w="960" w:type="dxa"/>
            <w:tcBorders>
              <w:top w:val="nil"/>
              <w:left w:val="nil"/>
              <w:bottom w:val="single" w:sz="4" w:space="0" w:color="auto"/>
              <w:right w:val="single" w:sz="4" w:space="0" w:color="auto"/>
            </w:tcBorders>
            <w:shd w:val="clear" w:color="000000" w:fill="C6E0B4"/>
            <w:hideMark/>
          </w:tcPr>
          <w:p w14:paraId="192141C3"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w:t>
            </w:r>
          </w:p>
        </w:tc>
        <w:tc>
          <w:tcPr>
            <w:tcW w:w="960" w:type="dxa"/>
            <w:tcBorders>
              <w:top w:val="nil"/>
              <w:left w:val="nil"/>
              <w:bottom w:val="single" w:sz="4" w:space="0" w:color="auto"/>
              <w:right w:val="single" w:sz="4" w:space="0" w:color="auto"/>
            </w:tcBorders>
            <w:shd w:val="clear" w:color="000000" w:fill="C6E0B4"/>
            <w:hideMark/>
          </w:tcPr>
          <w:p w14:paraId="2BE4826C"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w:t>
            </w:r>
          </w:p>
        </w:tc>
        <w:tc>
          <w:tcPr>
            <w:tcW w:w="960" w:type="dxa"/>
            <w:tcBorders>
              <w:top w:val="nil"/>
              <w:left w:val="nil"/>
              <w:bottom w:val="single" w:sz="4" w:space="0" w:color="auto"/>
              <w:right w:val="single" w:sz="4" w:space="0" w:color="auto"/>
            </w:tcBorders>
            <w:shd w:val="clear" w:color="000000" w:fill="CC99FF"/>
            <w:hideMark/>
          </w:tcPr>
          <w:p w14:paraId="786C45FE"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w:t>
            </w:r>
          </w:p>
        </w:tc>
        <w:tc>
          <w:tcPr>
            <w:tcW w:w="960" w:type="dxa"/>
            <w:tcBorders>
              <w:top w:val="nil"/>
              <w:left w:val="nil"/>
              <w:bottom w:val="single" w:sz="4" w:space="0" w:color="auto"/>
              <w:right w:val="single" w:sz="4" w:space="0" w:color="auto"/>
            </w:tcBorders>
            <w:shd w:val="clear" w:color="000000" w:fill="CC99FF"/>
            <w:hideMark/>
          </w:tcPr>
          <w:p w14:paraId="6CC61C87"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w:t>
            </w:r>
          </w:p>
        </w:tc>
      </w:tr>
      <w:tr w:rsidR="006D5618" w:rsidRPr="00496F34" w14:paraId="431993BE" w14:textId="77777777" w:rsidTr="00F6165B">
        <w:trPr>
          <w:trHeight w:val="33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1FD7AD2" w14:textId="77777777" w:rsidR="006D5618" w:rsidRPr="00496F34" w:rsidRDefault="006D5618" w:rsidP="00F6165B">
            <w:pPr>
              <w:rPr>
                <w:rFonts w:ascii="Arial" w:hAnsi="Arial" w:cs="Arial"/>
                <w:b/>
                <w:bCs/>
                <w:color w:val="000000"/>
                <w:sz w:val="20"/>
                <w:lang w:eastAsia="en-GB"/>
              </w:rPr>
            </w:pPr>
          </w:p>
        </w:tc>
        <w:tc>
          <w:tcPr>
            <w:tcW w:w="960" w:type="dxa"/>
            <w:tcBorders>
              <w:top w:val="nil"/>
              <w:left w:val="nil"/>
              <w:bottom w:val="nil"/>
              <w:right w:val="single" w:sz="4" w:space="0" w:color="auto"/>
            </w:tcBorders>
            <w:shd w:val="clear" w:color="000000" w:fill="BFBFBF"/>
            <w:hideMark/>
          </w:tcPr>
          <w:p w14:paraId="245DCF5D"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National</w:t>
            </w:r>
            <w:r>
              <w:rPr>
                <w:rFonts w:ascii="Arial" w:hAnsi="Arial" w:cs="Arial"/>
                <w:color w:val="000000"/>
                <w:sz w:val="20"/>
                <w:lang w:eastAsia="en-GB"/>
              </w:rPr>
              <w:t xml:space="preserve"> CLA</w:t>
            </w:r>
          </w:p>
        </w:tc>
        <w:tc>
          <w:tcPr>
            <w:tcW w:w="960" w:type="dxa"/>
            <w:tcBorders>
              <w:top w:val="nil"/>
              <w:left w:val="nil"/>
              <w:bottom w:val="nil"/>
              <w:right w:val="single" w:sz="4" w:space="0" w:color="auto"/>
            </w:tcBorders>
            <w:shd w:val="clear" w:color="000000" w:fill="FFD966"/>
            <w:hideMark/>
          </w:tcPr>
          <w:p w14:paraId="3DE8ED0A" w14:textId="77777777" w:rsidR="006D5618"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HCC</w:t>
            </w:r>
          </w:p>
          <w:p w14:paraId="2BDA72B3" w14:textId="77777777" w:rsidR="006D5618" w:rsidRPr="00496F34" w:rsidRDefault="006D5618" w:rsidP="00F6165B">
            <w:pPr>
              <w:jc w:val="center"/>
              <w:rPr>
                <w:rFonts w:ascii="Arial" w:hAnsi="Arial" w:cs="Arial"/>
                <w:color w:val="000000"/>
                <w:sz w:val="20"/>
                <w:lang w:eastAsia="en-GB"/>
              </w:rPr>
            </w:pPr>
            <w:r>
              <w:rPr>
                <w:rFonts w:ascii="Arial" w:hAnsi="Arial" w:cs="Arial"/>
                <w:color w:val="000000"/>
                <w:sz w:val="20"/>
                <w:lang w:eastAsia="en-GB"/>
              </w:rPr>
              <w:t>CLA</w:t>
            </w:r>
          </w:p>
        </w:tc>
        <w:tc>
          <w:tcPr>
            <w:tcW w:w="960" w:type="dxa"/>
            <w:tcBorders>
              <w:top w:val="nil"/>
              <w:left w:val="nil"/>
              <w:bottom w:val="nil"/>
              <w:right w:val="single" w:sz="4" w:space="0" w:color="auto"/>
            </w:tcBorders>
            <w:shd w:val="clear" w:color="000000" w:fill="BFBFBF"/>
            <w:hideMark/>
          </w:tcPr>
          <w:p w14:paraId="766EFD3D" w14:textId="77777777" w:rsidR="006D5618"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National</w:t>
            </w:r>
          </w:p>
          <w:p w14:paraId="1AF6008D" w14:textId="77777777" w:rsidR="006D5618" w:rsidRPr="00496F34" w:rsidRDefault="006D5618" w:rsidP="00F6165B">
            <w:pPr>
              <w:jc w:val="center"/>
              <w:rPr>
                <w:rFonts w:ascii="Arial" w:hAnsi="Arial" w:cs="Arial"/>
                <w:color w:val="000000"/>
                <w:sz w:val="20"/>
                <w:lang w:eastAsia="en-GB"/>
              </w:rPr>
            </w:pPr>
            <w:r>
              <w:rPr>
                <w:rFonts w:ascii="Arial" w:hAnsi="Arial" w:cs="Arial"/>
                <w:color w:val="000000"/>
                <w:sz w:val="20"/>
                <w:lang w:eastAsia="en-GB"/>
              </w:rPr>
              <w:t>CLA</w:t>
            </w:r>
          </w:p>
        </w:tc>
        <w:tc>
          <w:tcPr>
            <w:tcW w:w="960" w:type="dxa"/>
            <w:tcBorders>
              <w:top w:val="nil"/>
              <w:left w:val="nil"/>
              <w:bottom w:val="nil"/>
              <w:right w:val="single" w:sz="4" w:space="0" w:color="auto"/>
            </w:tcBorders>
            <w:shd w:val="clear" w:color="000000" w:fill="FFD966"/>
            <w:hideMark/>
          </w:tcPr>
          <w:p w14:paraId="6A7FF092" w14:textId="77777777" w:rsidR="006D5618"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HCC</w:t>
            </w:r>
          </w:p>
          <w:p w14:paraId="493CF897" w14:textId="77777777" w:rsidR="006D5618" w:rsidRPr="00496F34" w:rsidRDefault="006D5618" w:rsidP="00F6165B">
            <w:pPr>
              <w:jc w:val="center"/>
              <w:rPr>
                <w:rFonts w:ascii="Arial" w:hAnsi="Arial" w:cs="Arial"/>
                <w:color w:val="000000"/>
                <w:sz w:val="20"/>
                <w:lang w:eastAsia="en-GB"/>
              </w:rPr>
            </w:pPr>
            <w:r>
              <w:rPr>
                <w:rFonts w:ascii="Arial" w:hAnsi="Arial" w:cs="Arial"/>
                <w:color w:val="000000"/>
                <w:sz w:val="20"/>
                <w:lang w:eastAsia="en-GB"/>
              </w:rPr>
              <w:t>CLA</w:t>
            </w:r>
          </w:p>
        </w:tc>
      </w:tr>
      <w:tr w:rsidR="006D5618" w:rsidRPr="00496F34" w14:paraId="4A1F7DCA" w14:textId="77777777" w:rsidTr="00F6165B">
        <w:trPr>
          <w:trHeight w:val="2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5C686" w14:textId="77777777" w:rsidR="006D5618" w:rsidRPr="00496F34" w:rsidRDefault="006D5618" w:rsidP="00F6165B">
            <w:pPr>
              <w:rPr>
                <w:rFonts w:ascii="Arial" w:hAnsi="Arial" w:cs="Arial"/>
                <w:color w:val="000000"/>
                <w:sz w:val="20"/>
                <w:lang w:eastAsia="en-GB"/>
              </w:rPr>
            </w:pPr>
            <w:r w:rsidRPr="00496F34">
              <w:rPr>
                <w:rFonts w:ascii="Arial" w:hAnsi="Arial" w:cs="Arial"/>
                <w:color w:val="000000"/>
                <w:sz w:val="20"/>
                <w:lang w:eastAsia="en-GB"/>
              </w:rPr>
              <w:t>2024</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5ADDEF1A"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61.0%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2A8BEB"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62.9%</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6E46772E"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40.0%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57247C"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38.1%</w:t>
            </w:r>
          </w:p>
        </w:tc>
      </w:tr>
      <w:tr w:rsidR="006D5618" w:rsidRPr="00496F34" w14:paraId="35AB35E9" w14:textId="77777777" w:rsidTr="00F6165B">
        <w:trPr>
          <w:trHeight w:val="2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2998EF" w14:textId="77777777" w:rsidR="006D5618" w:rsidRPr="00496F34" w:rsidRDefault="006D5618" w:rsidP="00F6165B">
            <w:pPr>
              <w:rPr>
                <w:rFonts w:ascii="Arial" w:hAnsi="Arial" w:cs="Arial"/>
                <w:color w:val="000000"/>
                <w:sz w:val="20"/>
                <w:lang w:eastAsia="en-GB"/>
              </w:rPr>
            </w:pPr>
            <w:r w:rsidRPr="00496F34">
              <w:rPr>
                <w:rFonts w:ascii="Arial" w:hAnsi="Arial" w:cs="Arial"/>
                <w:color w:val="000000"/>
                <w:sz w:val="20"/>
                <w:lang w:eastAsia="en-GB"/>
              </w:rPr>
              <w:t>2023</w:t>
            </w:r>
          </w:p>
        </w:tc>
        <w:tc>
          <w:tcPr>
            <w:tcW w:w="960" w:type="dxa"/>
            <w:tcBorders>
              <w:top w:val="nil"/>
              <w:left w:val="nil"/>
              <w:bottom w:val="single" w:sz="4" w:space="0" w:color="auto"/>
              <w:right w:val="single" w:sz="4" w:space="0" w:color="auto"/>
            </w:tcBorders>
            <w:shd w:val="clear" w:color="000000" w:fill="BFBFBF"/>
            <w:noWrap/>
            <w:vAlign w:val="bottom"/>
            <w:hideMark/>
          </w:tcPr>
          <w:p w14:paraId="17DCC78B"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61.0%</w:t>
            </w:r>
          </w:p>
        </w:tc>
        <w:tc>
          <w:tcPr>
            <w:tcW w:w="960" w:type="dxa"/>
            <w:tcBorders>
              <w:top w:val="nil"/>
              <w:left w:val="nil"/>
              <w:bottom w:val="single" w:sz="4" w:space="0" w:color="auto"/>
              <w:right w:val="single" w:sz="4" w:space="0" w:color="auto"/>
            </w:tcBorders>
            <w:shd w:val="clear" w:color="auto" w:fill="auto"/>
            <w:noWrap/>
            <w:vAlign w:val="bottom"/>
            <w:hideMark/>
          </w:tcPr>
          <w:p w14:paraId="0BDFD440"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53.8%</w:t>
            </w:r>
          </w:p>
        </w:tc>
        <w:tc>
          <w:tcPr>
            <w:tcW w:w="960" w:type="dxa"/>
            <w:tcBorders>
              <w:top w:val="nil"/>
              <w:left w:val="nil"/>
              <w:bottom w:val="single" w:sz="4" w:space="0" w:color="auto"/>
              <w:right w:val="single" w:sz="4" w:space="0" w:color="auto"/>
            </w:tcBorders>
            <w:shd w:val="clear" w:color="000000" w:fill="BFBFBF"/>
            <w:noWrap/>
            <w:vAlign w:val="bottom"/>
            <w:hideMark/>
          </w:tcPr>
          <w:p w14:paraId="24DE49EF"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45.0%</w:t>
            </w:r>
          </w:p>
        </w:tc>
        <w:tc>
          <w:tcPr>
            <w:tcW w:w="960" w:type="dxa"/>
            <w:tcBorders>
              <w:top w:val="nil"/>
              <w:left w:val="nil"/>
              <w:bottom w:val="single" w:sz="4" w:space="0" w:color="auto"/>
              <w:right w:val="single" w:sz="4" w:space="0" w:color="auto"/>
            </w:tcBorders>
            <w:shd w:val="clear" w:color="auto" w:fill="auto"/>
            <w:noWrap/>
            <w:vAlign w:val="bottom"/>
            <w:hideMark/>
          </w:tcPr>
          <w:p w14:paraId="7EC70F84"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55.0%</w:t>
            </w:r>
          </w:p>
        </w:tc>
      </w:tr>
      <w:tr w:rsidR="006D5618" w:rsidRPr="00496F34" w14:paraId="461E073F" w14:textId="77777777" w:rsidTr="00F6165B">
        <w:trPr>
          <w:trHeight w:val="2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400856" w14:textId="77777777" w:rsidR="006D5618" w:rsidRPr="00496F34" w:rsidRDefault="006D5618" w:rsidP="00F6165B">
            <w:pPr>
              <w:rPr>
                <w:rFonts w:ascii="Arial" w:hAnsi="Arial" w:cs="Arial"/>
                <w:color w:val="000000"/>
                <w:sz w:val="20"/>
                <w:lang w:eastAsia="en-GB"/>
              </w:rPr>
            </w:pPr>
            <w:r w:rsidRPr="00496F34">
              <w:rPr>
                <w:rFonts w:ascii="Arial" w:hAnsi="Arial" w:cs="Arial"/>
                <w:color w:val="000000"/>
                <w:sz w:val="20"/>
                <w:lang w:eastAsia="en-GB"/>
              </w:rPr>
              <w:t>2022</w:t>
            </w:r>
          </w:p>
        </w:tc>
        <w:tc>
          <w:tcPr>
            <w:tcW w:w="960" w:type="dxa"/>
            <w:tcBorders>
              <w:top w:val="nil"/>
              <w:left w:val="nil"/>
              <w:bottom w:val="single" w:sz="4" w:space="0" w:color="auto"/>
              <w:right w:val="single" w:sz="4" w:space="0" w:color="auto"/>
            </w:tcBorders>
            <w:shd w:val="clear" w:color="000000" w:fill="BFBFBF"/>
            <w:noWrap/>
            <w:vAlign w:val="bottom"/>
            <w:hideMark/>
          </w:tcPr>
          <w:p w14:paraId="278C72CE"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21D1F14"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57.1%</w:t>
            </w:r>
          </w:p>
        </w:tc>
        <w:tc>
          <w:tcPr>
            <w:tcW w:w="960" w:type="dxa"/>
            <w:tcBorders>
              <w:top w:val="nil"/>
              <w:left w:val="nil"/>
              <w:bottom w:val="single" w:sz="4" w:space="0" w:color="auto"/>
              <w:right w:val="single" w:sz="4" w:space="0" w:color="auto"/>
            </w:tcBorders>
            <w:shd w:val="clear" w:color="000000" w:fill="BFBFBF"/>
            <w:noWrap/>
            <w:vAlign w:val="bottom"/>
            <w:hideMark/>
          </w:tcPr>
          <w:p w14:paraId="423E1EBA"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33.0%</w:t>
            </w:r>
          </w:p>
        </w:tc>
        <w:tc>
          <w:tcPr>
            <w:tcW w:w="960" w:type="dxa"/>
            <w:tcBorders>
              <w:top w:val="nil"/>
              <w:left w:val="nil"/>
              <w:bottom w:val="single" w:sz="4" w:space="0" w:color="auto"/>
              <w:right w:val="single" w:sz="4" w:space="0" w:color="auto"/>
            </w:tcBorders>
            <w:shd w:val="clear" w:color="auto" w:fill="auto"/>
            <w:noWrap/>
            <w:vAlign w:val="bottom"/>
            <w:hideMark/>
          </w:tcPr>
          <w:p w14:paraId="642DA4F4" w14:textId="77777777" w:rsidR="006D5618" w:rsidRPr="00496F34" w:rsidRDefault="006D5618" w:rsidP="00F6165B">
            <w:pPr>
              <w:jc w:val="center"/>
              <w:rPr>
                <w:rFonts w:ascii="Arial" w:hAnsi="Arial" w:cs="Arial"/>
                <w:color w:val="000000"/>
                <w:sz w:val="20"/>
                <w:lang w:eastAsia="en-GB"/>
              </w:rPr>
            </w:pPr>
            <w:r w:rsidRPr="00496F34">
              <w:rPr>
                <w:rFonts w:ascii="Arial" w:hAnsi="Arial" w:cs="Arial"/>
                <w:color w:val="000000"/>
                <w:sz w:val="20"/>
                <w:lang w:eastAsia="en-GB"/>
              </w:rPr>
              <w:t>42.1%</w:t>
            </w:r>
          </w:p>
        </w:tc>
      </w:tr>
    </w:tbl>
    <w:p w14:paraId="64250E81" w14:textId="77777777" w:rsidR="006D5618" w:rsidRPr="006D5618" w:rsidRDefault="006D5618" w:rsidP="006D5618">
      <w:pPr>
        <w:spacing w:line="276" w:lineRule="auto"/>
        <w:rPr>
          <w:rFonts w:ascii="Arial" w:hAnsi="Arial" w:cs="Arial"/>
          <w:szCs w:val="24"/>
        </w:rPr>
      </w:pPr>
    </w:p>
    <w:p w14:paraId="2AD7FD88" w14:textId="77777777" w:rsidR="00400F16" w:rsidRPr="00400F16" w:rsidRDefault="00400F16" w:rsidP="00400F16">
      <w:pPr>
        <w:pStyle w:val="ListParagraph"/>
        <w:rPr>
          <w:rFonts w:ascii="Arial" w:hAnsi="Arial" w:cs="Arial"/>
          <w:szCs w:val="24"/>
        </w:rPr>
      </w:pPr>
    </w:p>
    <w:p w14:paraId="3353B07B" w14:textId="26292A1A" w:rsidR="00400F16" w:rsidRPr="00C9742D" w:rsidRDefault="00400F16" w:rsidP="00400F16">
      <w:pPr>
        <w:pStyle w:val="ListParagraph"/>
        <w:numPr>
          <w:ilvl w:val="0"/>
          <w:numId w:val="23"/>
        </w:numPr>
        <w:spacing w:line="276" w:lineRule="auto"/>
        <w:rPr>
          <w:rFonts w:ascii="Arial" w:hAnsi="Arial" w:cs="Arial"/>
          <w:szCs w:val="24"/>
        </w:rPr>
      </w:pPr>
      <w:r>
        <w:rPr>
          <w:rFonts w:ascii="Arial" w:hAnsi="Arial" w:cs="Arial"/>
          <w:szCs w:val="24"/>
        </w:rPr>
        <w:t>In 2024, there was an</w:t>
      </w:r>
      <w:r w:rsidRPr="00C9742D">
        <w:rPr>
          <w:rFonts w:ascii="Arial" w:hAnsi="Arial" w:cs="Arial"/>
          <w:szCs w:val="24"/>
        </w:rPr>
        <w:t xml:space="preserve"> improvement in Year 1 phonics attainment of 9.1% compared to the previous year. Hampshire CLA sit above National CLA by 1.9%, and Nexus data indicates that Hampshire sit above the Southeast Region CLA by 18.9%.</w:t>
      </w:r>
    </w:p>
    <w:p w14:paraId="2CA63C92" w14:textId="77777777" w:rsidR="00400F16" w:rsidRPr="00C9742D" w:rsidRDefault="00400F16" w:rsidP="00400F16">
      <w:pPr>
        <w:pStyle w:val="ListParagraph"/>
        <w:spacing w:line="276" w:lineRule="auto"/>
        <w:ind w:left="644" w:hanging="502"/>
        <w:rPr>
          <w:rFonts w:ascii="Arial" w:hAnsi="Arial" w:cs="Arial"/>
          <w:szCs w:val="24"/>
        </w:rPr>
      </w:pPr>
    </w:p>
    <w:p w14:paraId="505867D5" w14:textId="77777777" w:rsidR="00465B59" w:rsidRDefault="00400F16" w:rsidP="00465B59">
      <w:pPr>
        <w:pStyle w:val="ListParagraph"/>
        <w:numPr>
          <w:ilvl w:val="0"/>
          <w:numId w:val="23"/>
        </w:numPr>
        <w:spacing w:line="276" w:lineRule="auto"/>
        <w:rPr>
          <w:rFonts w:ascii="Arial" w:hAnsi="Arial" w:cs="Arial"/>
          <w:szCs w:val="24"/>
        </w:rPr>
      </w:pPr>
      <w:r w:rsidRPr="00C9742D">
        <w:rPr>
          <w:rFonts w:ascii="Arial" w:hAnsi="Arial" w:cs="Arial"/>
          <w:szCs w:val="24"/>
        </w:rPr>
        <w:t xml:space="preserve">The Year 2 phonics attainment is below last year and 1.9% below national. This equates to 19 children, of which seven children have an EHCP and eight are on SEN support. The four children without SEND </w:t>
      </w:r>
      <w:r w:rsidRPr="00C9742D">
        <w:rPr>
          <w:rFonts w:ascii="Arial" w:hAnsi="Arial" w:cs="Arial"/>
          <w:szCs w:val="24"/>
        </w:rPr>
        <w:lastRenderedPageBreak/>
        <w:t xml:space="preserve">achieved the phonics outcome, along with two that have an EHCP and two children on SEN support. </w:t>
      </w:r>
    </w:p>
    <w:p w14:paraId="6A942B7F" w14:textId="77777777" w:rsidR="00465B59" w:rsidRPr="00465B59" w:rsidRDefault="00465B59" w:rsidP="00465B59">
      <w:pPr>
        <w:pStyle w:val="ListParagraph"/>
        <w:rPr>
          <w:rFonts w:ascii="Arial" w:hAnsi="Arial" w:cs="Arial"/>
          <w:szCs w:val="24"/>
          <w:lang w:eastAsia="en-GB"/>
        </w:rPr>
      </w:pPr>
    </w:p>
    <w:p w14:paraId="600469F0" w14:textId="32AA7507" w:rsidR="00465B59" w:rsidRPr="00465B59" w:rsidRDefault="00465B59" w:rsidP="00465B59">
      <w:pPr>
        <w:pStyle w:val="ListParagraph"/>
        <w:numPr>
          <w:ilvl w:val="0"/>
          <w:numId w:val="23"/>
        </w:numPr>
        <w:spacing w:line="276" w:lineRule="auto"/>
        <w:rPr>
          <w:rFonts w:ascii="Arial" w:hAnsi="Arial" w:cs="Arial"/>
          <w:szCs w:val="24"/>
        </w:rPr>
      </w:pPr>
      <w:r w:rsidRPr="00465B59">
        <w:rPr>
          <w:rFonts w:ascii="Arial" w:hAnsi="Arial" w:cs="Arial"/>
          <w:szCs w:val="24"/>
          <w:lang w:eastAsia="en-GB"/>
        </w:rPr>
        <w:t xml:space="preserve">The data below presents school attainment data for HCC </w:t>
      </w:r>
      <w:proofErr w:type="spellStart"/>
      <w:r w:rsidRPr="00465B59">
        <w:rPr>
          <w:rFonts w:ascii="Arial" w:hAnsi="Arial" w:cs="Arial"/>
          <w:szCs w:val="24"/>
          <w:lang w:eastAsia="en-GB"/>
        </w:rPr>
        <w:t>CiC</w:t>
      </w:r>
      <w:proofErr w:type="spellEnd"/>
      <w:r w:rsidRPr="00465B59">
        <w:rPr>
          <w:rFonts w:ascii="Arial" w:hAnsi="Arial" w:cs="Arial"/>
          <w:szCs w:val="24"/>
          <w:lang w:eastAsia="en-GB"/>
        </w:rPr>
        <w:t xml:space="preserve"> (Children in Care) of statutory school age at Key Stage 2.</w:t>
      </w:r>
      <w:r w:rsidRPr="00465B59">
        <w:rPr>
          <w:rFonts w:ascii="Arial" w:hAnsi="Arial" w:cs="Arial"/>
          <w:szCs w:val="24"/>
        </w:rPr>
        <w:t xml:space="preserve"> Data is collated and presented by the Data and Information Team, (updated 13 August 2024) and sourced from Nexus, with additional data added from DQC collections.</w:t>
      </w:r>
    </w:p>
    <w:p w14:paraId="2460F9B3" w14:textId="77777777" w:rsidR="00465B59" w:rsidRPr="003A73F6" w:rsidRDefault="00465B59" w:rsidP="00465B59">
      <w:pPr>
        <w:ind w:hanging="502"/>
        <w:rPr>
          <w:rFonts w:ascii="Arial" w:hAnsi="Arial" w:cs="Arial"/>
          <w:szCs w:val="24"/>
        </w:rPr>
      </w:pPr>
    </w:p>
    <w:tbl>
      <w:tblPr>
        <w:tblW w:w="0" w:type="auto"/>
        <w:tblInd w:w="113" w:type="dxa"/>
        <w:tblLook w:val="04A0" w:firstRow="1" w:lastRow="0" w:firstColumn="1" w:lastColumn="0" w:noHBand="0" w:noVBand="1"/>
      </w:tblPr>
      <w:tblGrid>
        <w:gridCol w:w="1239"/>
        <w:gridCol w:w="950"/>
        <w:gridCol w:w="784"/>
        <w:gridCol w:w="950"/>
        <w:gridCol w:w="784"/>
        <w:gridCol w:w="950"/>
        <w:gridCol w:w="784"/>
        <w:gridCol w:w="950"/>
        <w:gridCol w:w="784"/>
      </w:tblGrid>
      <w:tr w:rsidR="00465B59" w:rsidRPr="007D4582" w14:paraId="75CC867F" w14:textId="77777777" w:rsidTr="00F6165B">
        <w:trPr>
          <w:trHeight w:val="260"/>
        </w:trPr>
        <w:tc>
          <w:tcPr>
            <w:tcW w:w="0" w:type="auto"/>
            <w:vMerge w:val="restart"/>
            <w:tcBorders>
              <w:top w:val="single" w:sz="4" w:space="0" w:color="auto"/>
              <w:left w:val="single" w:sz="4" w:space="0" w:color="auto"/>
              <w:bottom w:val="single" w:sz="4" w:space="0" w:color="auto"/>
              <w:right w:val="single" w:sz="4" w:space="0" w:color="auto"/>
            </w:tcBorders>
            <w:shd w:val="clear" w:color="000000" w:fill="F8CBAD"/>
            <w:hideMark/>
          </w:tcPr>
          <w:p w14:paraId="375815E1" w14:textId="77777777" w:rsidR="00465B59" w:rsidRPr="007D4582" w:rsidRDefault="00465B59" w:rsidP="00F6165B">
            <w:pPr>
              <w:rPr>
                <w:rFonts w:ascii="Arial" w:hAnsi="Arial" w:cs="Arial"/>
                <w:b/>
                <w:bCs/>
                <w:color w:val="000000"/>
                <w:sz w:val="20"/>
                <w:lang w:eastAsia="en-GB"/>
              </w:rPr>
            </w:pPr>
            <w:r w:rsidRPr="007D4582">
              <w:rPr>
                <w:rFonts w:ascii="Arial" w:hAnsi="Arial" w:cs="Arial"/>
                <w:b/>
                <w:bCs/>
                <w:color w:val="000000"/>
                <w:sz w:val="20"/>
                <w:lang w:eastAsia="en-GB"/>
              </w:rPr>
              <w:t>Exam Year</w:t>
            </w:r>
          </w:p>
        </w:tc>
        <w:tc>
          <w:tcPr>
            <w:tcW w:w="0" w:type="auto"/>
            <w:gridSpan w:val="2"/>
            <w:tcBorders>
              <w:top w:val="single" w:sz="4" w:space="0" w:color="auto"/>
              <w:left w:val="nil"/>
              <w:bottom w:val="single" w:sz="4" w:space="0" w:color="auto"/>
              <w:right w:val="single" w:sz="4" w:space="0" w:color="000000"/>
            </w:tcBorders>
            <w:shd w:val="clear" w:color="000000" w:fill="C6E0B4"/>
            <w:vAlign w:val="center"/>
            <w:hideMark/>
          </w:tcPr>
          <w:p w14:paraId="494C2803" w14:textId="77777777" w:rsidR="00465B59" w:rsidRPr="007D4582" w:rsidRDefault="00465B59" w:rsidP="00F6165B">
            <w:pPr>
              <w:jc w:val="center"/>
              <w:rPr>
                <w:rFonts w:ascii="Arial" w:hAnsi="Arial" w:cs="Arial"/>
                <w:b/>
                <w:bCs/>
                <w:sz w:val="20"/>
                <w:lang w:eastAsia="en-GB"/>
              </w:rPr>
            </w:pPr>
            <w:r w:rsidRPr="007D4582">
              <w:rPr>
                <w:rFonts w:ascii="Arial" w:hAnsi="Arial" w:cs="Arial"/>
                <w:b/>
                <w:bCs/>
                <w:sz w:val="20"/>
                <w:lang w:eastAsia="en-GB"/>
              </w:rPr>
              <w:t>Reading</w:t>
            </w:r>
          </w:p>
        </w:tc>
        <w:tc>
          <w:tcPr>
            <w:tcW w:w="0" w:type="auto"/>
            <w:gridSpan w:val="2"/>
            <w:tcBorders>
              <w:top w:val="single" w:sz="4" w:space="0" w:color="auto"/>
              <w:left w:val="nil"/>
              <w:bottom w:val="single" w:sz="4" w:space="0" w:color="auto"/>
              <w:right w:val="single" w:sz="4" w:space="0" w:color="000000"/>
            </w:tcBorders>
            <w:shd w:val="clear" w:color="000000" w:fill="CC99FF"/>
            <w:noWrap/>
            <w:hideMark/>
          </w:tcPr>
          <w:p w14:paraId="09A7DBAD" w14:textId="77777777" w:rsidR="00465B59" w:rsidRPr="007D4582" w:rsidRDefault="00465B59" w:rsidP="00F6165B">
            <w:pPr>
              <w:jc w:val="center"/>
              <w:rPr>
                <w:rFonts w:ascii="Arial" w:hAnsi="Arial" w:cs="Arial"/>
                <w:b/>
                <w:bCs/>
                <w:color w:val="000000"/>
                <w:sz w:val="20"/>
                <w:lang w:eastAsia="en-GB"/>
              </w:rPr>
            </w:pPr>
            <w:r w:rsidRPr="007D4582">
              <w:rPr>
                <w:rFonts w:ascii="Arial" w:hAnsi="Arial" w:cs="Arial"/>
                <w:b/>
                <w:bCs/>
                <w:color w:val="000000"/>
                <w:sz w:val="20"/>
                <w:lang w:eastAsia="en-GB"/>
              </w:rPr>
              <w:t>Writing TA</w:t>
            </w:r>
          </w:p>
        </w:tc>
        <w:tc>
          <w:tcPr>
            <w:tcW w:w="0" w:type="auto"/>
            <w:gridSpan w:val="2"/>
            <w:tcBorders>
              <w:top w:val="single" w:sz="4" w:space="0" w:color="auto"/>
              <w:left w:val="nil"/>
              <w:bottom w:val="single" w:sz="4" w:space="0" w:color="auto"/>
              <w:right w:val="single" w:sz="4" w:space="0" w:color="000000"/>
            </w:tcBorders>
            <w:shd w:val="clear" w:color="000000" w:fill="FFF2CC"/>
            <w:hideMark/>
          </w:tcPr>
          <w:p w14:paraId="07A3347F" w14:textId="77777777" w:rsidR="00465B59" w:rsidRPr="007D4582" w:rsidRDefault="00465B59" w:rsidP="00F6165B">
            <w:pPr>
              <w:jc w:val="center"/>
              <w:rPr>
                <w:rFonts w:ascii="Arial" w:hAnsi="Arial" w:cs="Arial"/>
                <w:b/>
                <w:bCs/>
                <w:color w:val="000000"/>
                <w:sz w:val="20"/>
                <w:lang w:eastAsia="en-GB"/>
              </w:rPr>
            </w:pPr>
            <w:r w:rsidRPr="007D4582">
              <w:rPr>
                <w:rFonts w:ascii="Arial" w:hAnsi="Arial" w:cs="Arial"/>
                <w:b/>
                <w:bCs/>
                <w:color w:val="000000"/>
                <w:sz w:val="20"/>
                <w:lang w:eastAsia="en-GB"/>
              </w:rPr>
              <w:t>Maths</w:t>
            </w:r>
          </w:p>
        </w:tc>
        <w:tc>
          <w:tcPr>
            <w:tcW w:w="0" w:type="auto"/>
            <w:gridSpan w:val="2"/>
            <w:tcBorders>
              <w:top w:val="single" w:sz="4" w:space="0" w:color="auto"/>
              <w:left w:val="nil"/>
              <w:bottom w:val="single" w:sz="4" w:space="0" w:color="auto"/>
              <w:right w:val="single" w:sz="4" w:space="0" w:color="000000"/>
            </w:tcBorders>
            <w:shd w:val="clear" w:color="000000" w:fill="D9E1F2"/>
            <w:hideMark/>
          </w:tcPr>
          <w:p w14:paraId="1B21ABE7" w14:textId="77777777" w:rsidR="00465B59" w:rsidRPr="007D4582" w:rsidRDefault="00465B59" w:rsidP="00F6165B">
            <w:pPr>
              <w:jc w:val="center"/>
              <w:rPr>
                <w:rFonts w:ascii="Arial" w:hAnsi="Arial" w:cs="Arial"/>
                <w:b/>
                <w:bCs/>
                <w:color w:val="000000"/>
                <w:sz w:val="20"/>
                <w:lang w:eastAsia="en-GB"/>
              </w:rPr>
            </w:pPr>
            <w:r w:rsidRPr="007D4582">
              <w:rPr>
                <w:rFonts w:ascii="Arial" w:hAnsi="Arial" w:cs="Arial"/>
                <w:b/>
                <w:bCs/>
                <w:color w:val="000000"/>
                <w:sz w:val="20"/>
                <w:lang w:eastAsia="en-GB"/>
              </w:rPr>
              <w:t>RWM</w:t>
            </w:r>
          </w:p>
        </w:tc>
      </w:tr>
      <w:tr w:rsidR="00465B59" w:rsidRPr="007D4582" w14:paraId="6FADB9DF" w14:textId="77777777" w:rsidTr="00F6165B">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09E36" w14:textId="77777777" w:rsidR="00465B59" w:rsidRPr="007D4582" w:rsidRDefault="00465B59" w:rsidP="00F6165B">
            <w:pPr>
              <w:rPr>
                <w:rFonts w:ascii="Arial" w:hAnsi="Arial" w:cs="Arial"/>
                <w:b/>
                <w:bCs/>
                <w:color w:val="000000"/>
                <w:sz w:val="20"/>
                <w:lang w:eastAsia="en-GB"/>
              </w:rPr>
            </w:pPr>
          </w:p>
        </w:tc>
        <w:tc>
          <w:tcPr>
            <w:tcW w:w="0" w:type="auto"/>
            <w:tcBorders>
              <w:top w:val="nil"/>
              <w:left w:val="nil"/>
              <w:bottom w:val="single" w:sz="4" w:space="0" w:color="auto"/>
              <w:right w:val="single" w:sz="4" w:space="0" w:color="auto"/>
            </w:tcBorders>
            <w:shd w:val="clear" w:color="000000" w:fill="C6E0B4"/>
            <w:hideMark/>
          </w:tcPr>
          <w:p w14:paraId="29D262FF"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C6E0B4"/>
            <w:hideMark/>
          </w:tcPr>
          <w:p w14:paraId="072CA143"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CC99FF"/>
            <w:hideMark/>
          </w:tcPr>
          <w:p w14:paraId="56334BE6"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CC99FF"/>
            <w:hideMark/>
          </w:tcPr>
          <w:p w14:paraId="08F3981D"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FFF2CC"/>
            <w:hideMark/>
          </w:tcPr>
          <w:p w14:paraId="041F570C"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FFF2CC"/>
            <w:hideMark/>
          </w:tcPr>
          <w:p w14:paraId="415B17EA"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D9E1F2"/>
            <w:hideMark/>
          </w:tcPr>
          <w:p w14:paraId="5EB13A7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c>
          <w:tcPr>
            <w:tcW w:w="0" w:type="auto"/>
            <w:tcBorders>
              <w:top w:val="nil"/>
              <w:left w:val="nil"/>
              <w:bottom w:val="single" w:sz="4" w:space="0" w:color="auto"/>
              <w:right w:val="single" w:sz="4" w:space="0" w:color="auto"/>
            </w:tcBorders>
            <w:shd w:val="clear" w:color="000000" w:fill="D9E1F2"/>
            <w:hideMark/>
          </w:tcPr>
          <w:p w14:paraId="501C7B29"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w:t>
            </w:r>
          </w:p>
        </w:tc>
      </w:tr>
      <w:tr w:rsidR="00465B59" w:rsidRPr="007D4582" w14:paraId="2BF700DE" w14:textId="77777777" w:rsidTr="00F6165B">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08204" w14:textId="77777777" w:rsidR="00465B59" w:rsidRPr="007D4582" w:rsidRDefault="00465B59" w:rsidP="00F6165B">
            <w:pPr>
              <w:rPr>
                <w:rFonts w:ascii="Arial" w:hAnsi="Arial" w:cs="Arial"/>
                <w:b/>
                <w:bCs/>
                <w:color w:val="000000"/>
                <w:sz w:val="20"/>
                <w:lang w:eastAsia="en-GB"/>
              </w:rPr>
            </w:pPr>
          </w:p>
        </w:tc>
        <w:tc>
          <w:tcPr>
            <w:tcW w:w="0" w:type="auto"/>
            <w:tcBorders>
              <w:top w:val="nil"/>
              <w:left w:val="nil"/>
              <w:bottom w:val="single" w:sz="4" w:space="0" w:color="auto"/>
              <w:right w:val="single" w:sz="4" w:space="0" w:color="auto"/>
            </w:tcBorders>
            <w:shd w:val="clear" w:color="000000" w:fill="BFBFBF"/>
            <w:hideMark/>
          </w:tcPr>
          <w:p w14:paraId="5248C3C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National</w:t>
            </w:r>
          </w:p>
        </w:tc>
        <w:tc>
          <w:tcPr>
            <w:tcW w:w="0" w:type="auto"/>
            <w:tcBorders>
              <w:top w:val="nil"/>
              <w:left w:val="nil"/>
              <w:bottom w:val="single" w:sz="4" w:space="0" w:color="auto"/>
              <w:right w:val="single" w:sz="4" w:space="0" w:color="auto"/>
            </w:tcBorders>
            <w:shd w:val="clear" w:color="000000" w:fill="FFD966"/>
            <w:hideMark/>
          </w:tcPr>
          <w:p w14:paraId="4C8B4132"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HCC</w:t>
            </w:r>
          </w:p>
        </w:tc>
        <w:tc>
          <w:tcPr>
            <w:tcW w:w="0" w:type="auto"/>
            <w:tcBorders>
              <w:top w:val="nil"/>
              <w:left w:val="nil"/>
              <w:bottom w:val="single" w:sz="4" w:space="0" w:color="auto"/>
              <w:right w:val="single" w:sz="4" w:space="0" w:color="auto"/>
            </w:tcBorders>
            <w:shd w:val="clear" w:color="000000" w:fill="BFBFBF"/>
            <w:hideMark/>
          </w:tcPr>
          <w:p w14:paraId="1550F2D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National</w:t>
            </w:r>
          </w:p>
        </w:tc>
        <w:tc>
          <w:tcPr>
            <w:tcW w:w="0" w:type="auto"/>
            <w:tcBorders>
              <w:top w:val="nil"/>
              <w:left w:val="nil"/>
              <w:bottom w:val="single" w:sz="4" w:space="0" w:color="auto"/>
              <w:right w:val="single" w:sz="4" w:space="0" w:color="auto"/>
            </w:tcBorders>
            <w:shd w:val="clear" w:color="000000" w:fill="FFD966"/>
            <w:hideMark/>
          </w:tcPr>
          <w:p w14:paraId="5D809CC9"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HCC</w:t>
            </w:r>
          </w:p>
        </w:tc>
        <w:tc>
          <w:tcPr>
            <w:tcW w:w="0" w:type="auto"/>
            <w:tcBorders>
              <w:top w:val="nil"/>
              <w:left w:val="nil"/>
              <w:bottom w:val="single" w:sz="4" w:space="0" w:color="auto"/>
              <w:right w:val="single" w:sz="4" w:space="0" w:color="auto"/>
            </w:tcBorders>
            <w:shd w:val="clear" w:color="000000" w:fill="BFBFBF"/>
            <w:hideMark/>
          </w:tcPr>
          <w:p w14:paraId="2A0BA8D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National</w:t>
            </w:r>
          </w:p>
        </w:tc>
        <w:tc>
          <w:tcPr>
            <w:tcW w:w="0" w:type="auto"/>
            <w:tcBorders>
              <w:top w:val="nil"/>
              <w:left w:val="nil"/>
              <w:bottom w:val="single" w:sz="4" w:space="0" w:color="auto"/>
              <w:right w:val="single" w:sz="4" w:space="0" w:color="auto"/>
            </w:tcBorders>
            <w:shd w:val="clear" w:color="000000" w:fill="FFD966"/>
            <w:hideMark/>
          </w:tcPr>
          <w:p w14:paraId="1C58B6BE"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HCC</w:t>
            </w:r>
          </w:p>
        </w:tc>
        <w:tc>
          <w:tcPr>
            <w:tcW w:w="0" w:type="auto"/>
            <w:tcBorders>
              <w:top w:val="nil"/>
              <w:left w:val="nil"/>
              <w:bottom w:val="single" w:sz="4" w:space="0" w:color="auto"/>
              <w:right w:val="single" w:sz="4" w:space="0" w:color="auto"/>
            </w:tcBorders>
            <w:shd w:val="clear" w:color="000000" w:fill="BFBFBF"/>
            <w:hideMark/>
          </w:tcPr>
          <w:p w14:paraId="126755D1"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National</w:t>
            </w:r>
          </w:p>
        </w:tc>
        <w:tc>
          <w:tcPr>
            <w:tcW w:w="0" w:type="auto"/>
            <w:tcBorders>
              <w:top w:val="nil"/>
              <w:left w:val="nil"/>
              <w:bottom w:val="single" w:sz="4" w:space="0" w:color="auto"/>
              <w:right w:val="single" w:sz="4" w:space="0" w:color="auto"/>
            </w:tcBorders>
            <w:shd w:val="clear" w:color="000000" w:fill="FFD966"/>
            <w:hideMark/>
          </w:tcPr>
          <w:p w14:paraId="2153EEA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HCC</w:t>
            </w:r>
          </w:p>
        </w:tc>
      </w:tr>
      <w:tr w:rsidR="00465B59" w:rsidRPr="007D4582" w14:paraId="5F673007" w14:textId="77777777" w:rsidTr="00F6165B">
        <w:trPr>
          <w:trHeight w:val="250"/>
        </w:trPr>
        <w:tc>
          <w:tcPr>
            <w:tcW w:w="0" w:type="auto"/>
            <w:tcBorders>
              <w:top w:val="nil"/>
              <w:left w:val="single" w:sz="4" w:space="0" w:color="auto"/>
              <w:bottom w:val="single" w:sz="4" w:space="0" w:color="BFBFBF"/>
              <w:right w:val="single" w:sz="4" w:space="0" w:color="BFBFBF"/>
            </w:tcBorders>
            <w:shd w:val="clear" w:color="auto" w:fill="auto"/>
            <w:noWrap/>
            <w:vAlign w:val="bottom"/>
            <w:hideMark/>
          </w:tcPr>
          <w:p w14:paraId="3DE8FEB8" w14:textId="77777777" w:rsidR="00465B59" w:rsidRPr="007D4582" w:rsidRDefault="00465B59" w:rsidP="00F6165B">
            <w:pPr>
              <w:rPr>
                <w:rFonts w:ascii="Arial" w:hAnsi="Arial" w:cs="Arial"/>
                <w:color w:val="000000"/>
                <w:sz w:val="20"/>
                <w:lang w:eastAsia="en-GB"/>
              </w:rPr>
            </w:pPr>
            <w:r w:rsidRPr="007D4582">
              <w:rPr>
                <w:rFonts w:ascii="Arial" w:hAnsi="Arial" w:cs="Arial"/>
                <w:color w:val="000000"/>
                <w:sz w:val="20"/>
                <w:lang w:eastAsia="en-GB"/>
              </w:rPr>
              <w:t>2024</w:t>
            </w:r>
          </w:p>
        </w:tc>
        <w:tc>
          <w:tcPr>
            <w:tcW w:w="0" w:type="auto"/>
            <w:tcBorders>
              <w:top w:val="nil"/>
              <w:left w:val="nil"/>
              <w:bottom w:val="single" w:sz="4" w:space="0" w:color="BFBFBF"/>
              <w:right w:val="single" w:sz="4" w:space="0" w:color="BFBFBF"/>
            </w:tcBorders>
            <w:shd w:val="clear" w:color="000000" w:fill="BFBFBF"/>
            <w:noWrap/>
            <w:vAlign w:val="bottom"/>
            <w:hideMark/>
          </w:tcPr>
          <w:p w14:paraId="2E80A9EB"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53.0%</w:t>
            </w:r>
          </w:p>
        </w:tc>
        <w:tc>
          <w:tcPr>
            <w:tcW w:w="0" w:type="auto"/>
            <w:tcBorders>
              <w:top w:val="nil"/>
              <w:left w:val="nil"/>
              <w:bottom w:val="single" w:sz="4" w:space="0" w:color="BFBFBF"/>
              <w:right w:val="single" w:sz="4" w:space="0" w:color="BFBFBF"/>
            </w:tcBorders>
            <w:shd w:val="clear" w:color="auto" w:fill="auto"/>
            <w:noWrap/>
            <w:vAlign w:val="bottom"/>
            <w:hideMark/>
          </w:tcPr>
          <w:p w14:paraId="19036461"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50.0%</w:t>
            </w:r>
          </w:p>
        </w:tc>
        <w:tc>
          <w:tcPr>
            <w:tcW w:w="0" w:type="auto"/>
            <w:tcBorders>
              <w:top w:val="nil"/>
              <w:left w:val="nil"/>
              <w:bottom w:val="single" w:sz="4" w:space="0" w:color="BFBFBF"/>
              <w:right w:val="single" w:sz="4" w:space="0" w:color="BFBFBF"/>
            </w:tcBorders>
            <w:shd w:val="clear" w:color="000000" w:fill="BFBFBF"/>
            <w:noWrap/>
            <w:vAlign w:val="bottom"/>
            <w:hideMark/>
          </w:tcPr>
          <w:p w14:paraId="322EA612"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42.6%</w:t>
            </w:r>
          </w:p>
        </w:tc>
        <w:tc>
          <w:tcPr>
            <w:tcW w:w="0" w:type="auto"/>
            <w:tcBorders>
              <w:top w:val="nil"/>
              <w:left w:val="nil"/>
              <w:bottom w:val="single" w:sz="4" w:space="0" w:color="BFBFBF"/>
              <w:right w:val="single" w:sz="4" w:space="0" w:color="BFBFBF"/>
            </w:tcBorders>
            <w:shd w:val="clear" w:color="auto" w:fill="auto"/>
            <w:noWrap/>
            <w:vAlign w:val="bottom"/>
            <w:hideMark/>
          </w:tcPr>
          <w:p w14:paraId="42A5C94B"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48.8%</w:t>
            </w:r>
          </w:p>
        </w:tc>
        <w:tc>
          <w:tcPr>
            <w:tcW w:w="0" w:type="auto"/>
            <w:tcBorders>
              <w:top w:val="nil"/>
              <w:left w:val="nil"/>
              <w:bottom w:val="single" w:sz="4" w:space="0" w:color="BFBFBF"/>
              <w:right w:val="single" w:sz="4" w:space="0" w:color="BFBFBF"/>
            </w:tcBorders>
            <w:shd w:val="clear" w:color="000000" w:fill="BFBFBF"/>
            <w:noWrap/>
            <w:vAlign w:val="bottom"/>
            <w:hideMark/>
          </w:tcPr>
          <w:p w14:paraId="6D282A6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47.0%</w:t>
            </w:r>
          </w:p>
        </w:tc>
        <w:tc>
          <w:tcPr>
            <w:tcW w:w="0" w:type="auto"/>
            <w:tcBorders>
              <w:top w:val="nil"/>
              <w:left w:val="nil"/>
              <w:bottom w:val="single" w:sz="4" w:space="0" w:color="BFBFBF"/>
              <w:right w:val="single" w:sz="4" w:space="0" w:color="BFBFBF"/>
            </w:tcBorders>
            <w:shd w:val="clear" w:color="auto" w:fill="auto"/>
            <w:noWrap/>
            <w:vAlign w:val="bottom"/>
            <w:hideMark/>
          </w:tcPr>
          <w:p w14:paraId="38EF50F7"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51.2%</w:t>
            </w:r>
          </w:p>
        </w:tc>
        <w:tc>
          <w:tcPr>
            <w:tcW w:w="0" w:type="auto"/>
            <w:tcBorders>
              <w:top w:val="nil"/>
              <w:left w:val="nil"/>
              <w:bottom w:val="single" w:sz="4" w:space="0" w:color="BFBFBF"/>
              <w:right w:val="single" w:sz="4" w:space="0" w:color="BFBFBF"/>
            </w:tcBorders>
            <w:shd w:val="clear" w:color="000000" w:fill="BFBFBF"/>
            <w:noWrap/>
            <w:vAlign w:val="bottom"/>
            <w:hideMark/>
          </w:tcPr>
          <w:p w14:paraId="5001D957"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34.0%</w:t>
            </w:r>
          </w:p>
        </w:tc>
        <w:tc>
          <w:tcPr>
            <w:tcW w:w="0" w:type="auto"/>
            <w:tcBorders>
              <w:top w:val="nil"/>
              <w:left w:val="nil"/>
              <w:bottom w:val="single" w:sz="4" w:space="0" w:color="BFBFBF"/>
              <w:right w:val="single" w:sz="4" w:space="0" w:color="auto"/>
            </w:tcBorders>
            <w:shd w:val="clear" w:color="auto" w:fill="auto"/>
            <w:noWrap/>
            <w:vAlign w:val="bottom"/>
            <w:hideMark/>
          </w:tcPr>
          <w:p w14:paraId="71FBAEA0"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31.7%</w:t>
            </w:r>
          </w:p>
        </w:tc>
      </w:tr>
      <w:tr w:rsidR="00465B59" w:rsidRPr="007D4582" w14:paraId="35C441BE" w14:textId="77777777" w:rsidTr="00F6165B">
        <w:trPr>
          <w:trHeight w:val="250"/>
        </w:trPr>
        <w:tc>
          <w:tcPr>
            <w:tcW w:w="0" w:type="auto"/>
            <w:tcBorders>
              <w:top w:val="nil"/>
              <w:left w:val="single" w:sz="4" w:space="0" w:color="auto"/>
              <w:bottom w:val="single" w:sz="4" w:space="0" w:color="BFBFBF"/>
              <w:right w:val="single" w:sz="4" w:space="0" w:color="BFBFBF"/>
            </w:tcBorders>
            <w:shd w:val="clear" w:color="auto" w:fill="auto"/>
            <w:noWrap/>
            <w:vAlign w:val="bottom"/>
            <w:hideMark/>
          </w:tcPr>
          <w:p w14:paraId="14AA58C8" w14:textId="77777777" w:rsidR="00465B59" w:rsidRPr="007D4582" w:rsidRDefault="00465B59" w:rsidP="00F6165B">
            <w:pPr>
              <w:rPr>
                <w:rFonts w:ascii="Arial" w:hAnsi="Arial" w:cs="Arial"/>
                <w:color w:val="000000"/>
                <w:sz w:val="20"/>
                <w:lang w:eastAsia="en-GB"/>
              </w:rPr>
            </w:pPr>
            <w:r w:rsidRPr="007D4582">
              <w:rPr>
                <w:rFonts w:ascii="Arial" w:hAnsi="Arial" w:cs="Arial"/>
                <w:color w:val="000000"/>
                <w:sz w:val="20"/>
                <w:lang w:eastAsia="en-GB"/>
              </w:rPr>
              <w:t>2023</w:t>
            </w:r>
          </w:p>
        </w:tc>
        <w:tc>
          <w:tcPr>
            <w:tcW w:w="0" w:type="auto"/>
            <w:tcBorders>
              <w:top w:val="nil"/>
              <w:left w:val="nil"/>
              <w:bottom w:val="single" w:sz="4" w:space="0" w:color="BFBFBF"/>
              <w:right w:val="single" w:sz="4" w:space="0" w:color="BFBFBF"/>
            </w:tcBorders>
            <w:shd w:val="clear" w:color="000000" w:fill="BFBFBF"/>
            <w:noWrap/>
            <w:vAlign w:val="bottom"/>
            <w:hideMark/>
          </w:tcPr>
          <w:p w14:paraId="661CBB22"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54.0%</w:t>
            </w:r>
          </w:p>
        </w:tc>
        <w:tc>
          <w:tcPr>
            <w:tcW w:w="0" w:type="auto"/>
            <w:tcBorders>
              <w:top w:val="nil"/>
              <w:left w:val="nil"/>
              <w:bottom w:val="single" w:sz="4" w:space="0" w:color="BFBFBF"/>
              <w:right w:val="single" w:sz="4" w:space="0" w:color="BFBFBF"/>
            </w:tcBorders>
            <w:shd w:val="clear" w:color="auto" w:fill="auto"/>
            <w:noWrap/>
            <w:vAlign w:val="bottom"/>
            <w:hideMark/>
          </w:tcPr>
          <w:p w14:paraId="7743F651"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50.6%</w:t>
            </w:r>
          </w:p>
        </w:tc>
        <w:tc>
          <w:tcPr>
            <w:tcW w:w="0" w:type="auto"/>
            <w:tcBorders>
              <w:top w:val="nil"/>
              <w:left w:val="nil"/>
              <w:bottom w:val="single" w:sz="4" w:space="0" w:color="BFBFBF"/>
              <w:right w:val="single" w:sz="4" w:space="0" w:color="BFBFBF"/>
            </w:tcBorders>
            <w:shd w:val="clear" w:color="000000" w:fill="BFBFBF"/>
            <w:noWrap/>
            <w:vAlign w:val="bottom"/>
            <w:hideMark/>
          </w:tcPr>
          <w:p w14:paraId="054D8202"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47.0%</w:t>
            </w:r>
          </w:p>
        </w:tc>
        <w:tc>
          <w:tcPr>
            <w:tcW w:w="0" w:type="auto"/>
            <w:tcBorders>
              <w:top w:val="nil"/>
              <w:left w:val="nil"/>
              <w:bottom w:val="single" w:sz="4" w:space="0" w:color="BFBFBF"/>
              <w:right w:val="single" w:sz="4" w:space="0" w:color="BFBFBF"/>
            </w:tcBorders>
            <w:shd w:val="clear" w:color="auto" w:fill="auto"/>
            <w:noWrap/>
            <w:vAlign w:val="bottom"/>
            <w:hideMark/>
          </w:tcPr>
          <w:p w14:paraId="09812E84"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43.4%</w:t>
            </w:r>
          </w:p>
        </w:tc>
        <w:tc>
          <w:tcPr>
            <w:tcW w:w="0" w:type="auto"/>
            <w:tcBorders>
              <w:top w:val="nil"/>
              <w:left w:val="nil"/>
              <w:bottom w:val="single" w:sz="4" w:space="0" w:color="BFBFBF"/>
              <w:right w:val="single" w:sz="4" w:space="0" w:color="BFBFBF"/>
            </w:tcBorders>
            <w:shd w:val="clear" w:color="000000" w:fill="BFBFBF"/>
            <w:noWrap/>
            <w:vAlign w:val="bottom"/>
            <w:hideMark/>
          </w:tcPr>
          <w:p w14:paraId="3BE242BD"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50.0%</w:t>
            </w:r>
          </w:p>
        </w:tc>
        <w:tc>
          <w:tcPr>
            <w:tcW w:w="0" w:type="auto"/>
            <w:tcBorders>
              <w:top w:val="nil"/>
              <w:left w:val="nil"/>
              <w:bottom w:val="single" w:sz="4" w:space="0" w:color="BFBFBF"/>
              <w:right w:val="single" w:sz="4" w:space="0" w:color="BFBFBF"/>
            </w:tcBorders>
            <w:shd w:val="clear" w:color="auto" w:fill="auto"/>
            <w:noWrap/>
            <w:vAlign w:val="bottom"/>
            <w:hideMark/>
          </w:tcPr>
          <w:p w14:paraId="72271CC1"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49.4%</w:t>
            </w:r>
          </w:p>
        </w:tc>
        <w:tc>
          <w:tcPr>
            <w:tcW w:w="0" w:type="auto"/>
            <w:tcBorders>
              <w:top w:val="nil"/>
              <w:left w:val="nil"/>
              <w:bottom w:val="single" w:sz="4" w:space="0" w:color="BFBFBF"/>
              <w:right w:val="single" w:sz="4" w:space="0" w:color="BFBFBF"/>
            </w:tcBorders>
            <w:shd w:val="clear" w:color="000000" w:fill="BFBFBF"/>
            <w:noWrap/>
            <w:vAlign w:val="bottom"/>
            <w:hideMark/>
          </w:tcPr>
          <w:p w14:paraId="61871EFC"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36.0%</w:t>
            </w:r>
          </w:p>
        </w:tc>
        <w:tc>
          <w:tcPr>
            <w:tcW w:w="0" w:type="auto"/>
            <w:tcBorders>
              <w:top w:val="nil"/>
              <w:left w:val="nil"/>
              <w:bottom w:val="single" w:sz="4" w:space="0" w:color="BFBFBF"/>
              <w:right w:val="single" w:sz="4" w:space="0" w:color="auto"/>
            </w:tcBorders>
            <w:shd w:val="clear" w:color="auto" w:fill="auto"/>
            <w:noWrap/>
            <w:vAlign w:val="bottom"/>
            <w:hideMark/>
          </w:tcPr>
          <w:p w14:paraId="17BC8197"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32.9%</w:t>
            </w:r>
          </w:p>
        </w:tc>
      </w:tr>
      <w:tr w:rsidR="00465B59" w:rsidRPr="007D4582" w14:paraId="41F53190" w14:textId="77777777" w:rsidTr="00F6165B">
        <w:trPr>
          <w:trHeight w:val="250"/>
        </w:trPr>
        <w:tc>
          <w:tcPr>
            <w:tcW w:w="0" w:type="auto"/>
            <w:tcBorders>
              <w:top w:val="nil"/>
              <w:left w:val="single" w:sz="4" w:space="0" w:color="auto"/>
              <w:bottom w:val="single" w:sz="4" w:space="0" w:color="BFBFBF"/>
              <w:right w:val="single" w:sz="4" w:space="0" w:color="BFBFBF"/>
            </w:tcBorders>
            <w:shd w:val="clear" w:color="auto" w:fill="auto"/>
            <w:noWrap/>
            <w:vAlign w:val="bottom"/>
            <w:hideMark/>
          </w:tcPr>
          <w:p w14:paraId="451ADF3A" w14:textId="77777777" w:rsidR="00465B59" w:rsidRPr="007D4582" w:rsidRDefault="00465B59" w:rsidP="00F6165B">
            <w:pPr>
              <w:rPr>
                <w:rFonts w:ascii="Arial" w:hAnsi="Arial" w:cs="Arial"/>
                <w:color w:val="000000"/>
                <w:sz w:val="20"/>
                <w:lang w:eastAsia="en-GB"/>
              </w:rPr>
            </w:pPr>
            <w:r w:rsidRPr="007D4582">
              <w:rPr>
                <w:rFonts w:ascii="Arial" w:hAnsi="Arial" w:cs="Arial"/>
                <w:color w:val="000000"/>
                <w:sz w:val="20"/>
                <w:lang w:eastAsia="en-GB"/>
              </w:rPr>
              <w:t>2022</w:t>
            </w:r>
          </w:p>
        </w:tc>
        <w:tc>
          <w:tcPr>
            <w:tcW w:w="0" w:type="auto"/>
            <w:tcBorders>
              <w:top w:val="nil"/>
              <w:left w:val="nil"/>
              <w:bottom w:val="single" w:sz="4" w:space="0" w:color="BFBFBF"/>
              <w:right w:val="single" w:sz="4" w:space="0" w:color="BFBFBF"/>
            </w:tcBorders>
            <w:shd w:val="clear" w:color="000000" w:fill="BFBFBF"/>
            <w:noWrap/>
            <w:vAlign w:val="bottom"/>
            <w:hideMark/>
          </w:tcPr>
          <w:p w14:paraId="32F29FAB"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52.0%</w:t>
            </w:r>
          </w:p>
        </w:tc>
        <w:tc>
          <w:tcPr>
            <w:tcW w:w="0" w:type="auto"/>
            <w:tcBorders>
              <w:top w:val="nil"/>
              <w:left w:val="nil"/>
              <w:bottom w:val="single" w:sz="4" w:space="0" w:color="BFBFBF"/>
              <w:right w:val="single" w:sz="4" w:space="0" w:color="BFBFBF"/>
            </w:tcBorders>
            <w:shd w:val="clear" w:color="auto" w:fill="auto"/>
            <w:noWrap/>
            <w:vAlign w:val="bottom"/>
            <w:hideMark/>
          </w:tcPr>
          <w:p w14:paraId="20E436AB"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47.0%</w:t>
            </w:r>
          </w:p>
        </w:tc>
        <w:tc>
          <w:tcPr>
            <w:tcW w:w="0" w:type="auto"/>
            <w:tcBorders>
              <w:top w:val="nil"/>
              <w:left w:val="nil"/>
              <w:bottom w:val="single" w:sz="4" w:space="0" w:color="BFBFBF"/>
              <w:right w:val="single" w:sz="4" w:space="0" w:color="BFBFBF"/>
            </w:tcBorders>
            <w:shd w:val="clear" w:color="000000" w:fill="BFBFBF"/>
            <w:noWrap/>
            <w:vAlign w:val="bottom"/>
            <w:hideMark/>
          </w:tcPr>
          <w:p w14:paraId="6E1205E6"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43.0%</w:t>
            </w:r>
          </w:p>
        </w:tc>
        <w:tc>
          <w:tcPr>
            <w:tcW w:w="0" w:type="auto"/>
            <w:tcBorders>
              <w:top w:val="nil"/>
              <w:left w:val="nil"/>
              <w:bottom w:val="single" w:sz="4" w:space="0" w:color="BFBFBF"/>
              <w:right w:val="single" w:sz="4" w:space="0" w:color="BFBFBF"/>
            </w:tcBorders>
            <w:shd w:val="clear" w:color="auto" w:fill="auto"/>
            <w:noWrap/>
            <w:vAlign w:val="bottom"/>
            <w:hideMark/>
          </w:tcPr>
          <w:p w14:paraId="44794935"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30.8%</w:t>
            </w:r>
          </w:p>
        </w:tc>
        <w:tc>
          <w:tcPr>
            <w:tcW w:w="0" w:type="auto"/>
            <w:tcBorders>
              <w:top w:val="nil"/>
              <w:left w:val="nil"/>
              <w:bottom w:val="single" w:sz="4" w:space="0" w:color="BFBFBF"/>
              <w:right w:val="single" w:sz="4" w:space="0" w:color="BFBFBF"/>
            </w:tcBorders>
            <w:shd w:val="clear" w:color="000000" w:fill="BFBFBF"/>
            <w:noWrap/>
            <w:vAlign w:val="bottom"/>
            <w:hideMark/>
          </w:tcPr>
          <w:p w14:paraId="7BFA4B72"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45.0%</w:t>
            </w:r>
          </w:p>
        </w:tc>
        <w:tc>
          <w:tcPr>
            <w:tcW w:w="0" w:type="auto"/>
            <w:tcBorders>
              <w:top w:val="nil"/>
              <w:left w:val="nil"/>
              <w:bottom w:val="single" w:sz="4" w:space="0" w:color="BFBFBF"/>
              <w:right w:val="single" w:sz="4" w:space="0" w:color="BFBFBF"/>
            </w:tcBorders>
            <w:shd w:val="clear" w:color="auto" w:fill="auto"/>
            <w:noWrap/>
            <w:vAlign w:val="bottom"/>
            <w:hideMark/>
          </w:tcPr>
          <w:p w14:paraId="4C2D4269"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34.8%</w:t>
            </w:r>
          </w:p>
        </w:tc>
        <w:tc>
          <w:tcPr>
            <w:tcW w:w="0" w:type="auto"/>
            <w:tcBorders>
              <w:top w:val="nil"/>
              <w:left w:val="nil"/>
              <w:bottom w:val="single" w:sz="4" w:space="0" w:color="BFBFBF"/>
              <w:right w:val="single" w:sz="4" w:space="0" w:color="BFBFBF"/>
            </w:tcBorders>
            <w:shd w:val="clear" w:color="000000" w:fill="BFBFBF"/>
            <w:noWrap/>
            <w:vAlign w:val="bottom"/>
            <w:hideMark/>
          </w:tcPr>
          <w:p w14:paraId="7F59827E"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32.0%</w:t>
            </w:r>
          </w:p>
        </w:tc>
        <w:tc>
          <w:tcPr>
            <w:tcW w:w="0" w:type="auto"/>
            <w:tcBorders>
              <w:top w:val="nil"/>
              <w:left w:val="nil"/>
              <w:bottom w:val="single" w:sz="4" w:space="0" w:color="BFBFBF"/>
              <w:right w:val="single" w:sz="4" w:space="0" w:color="auto"/>
            </w:tcBorders>
            <w:shd w:val="clear" w:color="auto" w:fill="auto"/>
            <w:noWrap/>
            <w:vAlign w:val="bottom"/>
            <w:hideMark/>
          </w:tcPr>
          <w:p w14:paraId="27F01F80"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20.0%</w:t>
            </w:r>
          </w:p>
        </w:tc>
      </w:tr>
      <w:tr w:rsidR="00465B59" w:rsidRPr="007D4582" w14:paraId="6AAA1EF2" w14:textId="77777777" w:rsidTr="00F6165B">
        <w:trPr>
          <w:trHeight w:val="250"/>
        </w:trPr>
        <w:tc>
          <w:tcPr>
            <w:tcW w:w="0" w:type="auto"/>
            <w:tcBorders>
              <w:top w:val="nil"/>
              <w:left w:val="single" w:sz="4" w:space="0" w:color="auto"/>
              <w:bottom w:val="single" w:sz="4" w:space="0" w:color="auto"/>
              <w:right w:val="single" w:sz="4" w:space="0" w:color="BFBFBF"/>
            </w:tcBorders>
            <w:shd w:val="clear" w:color="auto" w:fill="auto"/>
            <w:noWrap/>
            <w:vAlign w:val="bottom"/>
            <w:hideMark/>
          </w:tcPr>
          <w:p w14:paraId="767B46C3" w14:textId="77777777" w:rsidR="00465B59" w:rsidRPr="007D4582" w:rsidRDefault="00465B59" w:rsidP="00F6165B">
            <w:pPr>
              <w:rPr>
                <w:rFonts w:ascii="Arial" w:hAnsi="Arial" w:cs="Arial"/>
                <w:color w:val="000000"/>
                <w:sz w:val="20"/>
                <w:lang w:eastAsia="en-GB"/>
              </w:rPr>
            </w:pPr>
            <w:r w:rsidRPr="007D4582">
              <w:rPr>
                <w:rFonts w:ascii="Arial" w:hAnsi="Arial" w:cs="Arial"/>
                <w:color w:val="000000"/>
                <w:sz w:val="20"/>
                <w:lang w:eastAsia="en-GB"/>
              </w:rPr>
              <w:t>2019</w:t>
            </w:r>
          </w:p>
        </w:tc>
        <w:tc>
          <w:tcPr>
            <w:tcW w:w="0" w:type="auto"/>
            <w:tcBorders>
              <w:top w:val="nil"/>
              <w:left w:val="nil"/>
              <w:bottom w:val="single" w:sz="4" w:space="0" w:color="auto"/>
              <w:right w:val="single" w:sz="4" w:space="0" w:color="BFBFBF"/>
            </w:tcBorders>
            <w:shd w:val="clear" w:color="000000" w:fill="BFBFBF"/>
            <w:noWrap/>
            <w:vAlign w:val="bottom"/>
            <w:hideMark/>
          </w:tcPr>
          <w:p w14:paraId="7256A4CB"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49.0%</w:t>
            </w:r>
          </w:p>
        </w:tc>
        <w:tc>
          <w:tcPr>
            <w:tcW w:w="0" w:type="auto"/>
            <w:tcBorders>
              <w:top w:val="nil"/>
              <w:left w:val="nil"/>
              <w:bottom w:val="single" w:sz="4" w:space="0" w:color="auto"/>
              <w:right w:val="single" w:sz="4" w:space="0" w:color="BFBFBF"/>
            </w:tcBorders>
            <w:shd w:val="clear" w:color="auto" w:fill="auto"/>
            <w:noWrap/>
            <w:vAlign w:val="bottom"/>
            <w:hideMark/>
          </w:tcPr>
          <w:p w14:paraId="00FCE6A0"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42.0%</w:t>
            </w:r>
          </w:p>
        </w:tc>
        <w:tc>
          <w:tcPr>
            <w:tcW w:w="0" w:type="auto"/>
            <w:tcBorders>
              <w:top w:val="nil"/>
              <w:left w:val="nil"/>
              <w:bottom w:val="single" w:sz="4" w:space="0" w:color="auto"/>
              <w:right w:val="single" w:sz="4" w:space="0" w:color="BFBFBF"/>
            </w:tcBorders>
            <w:shd w:val="clear" w:color="000000" w:fill="BFBFBF"/>
            <w:noWrap/>
            <w:vAlign w:val="bottom"/>
            <w:hideMark/>
          </w:tcPr>
          <w:p w14:paraId="01284ABE"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51.0%</w:t>
            </w:r>
          </w:p>
        </w:tc>
        <w:tc>
          <w:tcPr>
            <w:tcW w:w="0" w:type="auto"/>
            <w:tcBorders>
              <w:top w:val="nil"/>
              <w:left w:val="nil"/>
              <w:bottom w:val="single" w:sz="4" w:space="0" w:color="auto"/>
              <w:right w:val="single" w:sz="4" w:space="0" w:color="BFBFBF"/>
            </w:tcBorders>
            <w:shd w:val="clear" w:color="auto" w:fill="auto"/>
            <w:noWrap/>
            <w:vAlign w:val="bottom"/>
            <w:hideMark/>
          </w:tcPr>
          <w:p w14:paraId="01C7FA80"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48.6%</w:t>
            </w:r>
          </w:p>
        </w:tc>
        <w:tc>
          <w:tcPr>
            <w:tcW w:w="0" w:type="auto"/>
            <w:tcBorders>
              <w:top w:val="nil"/>
              <w:left w:val="nil"/>
              <w:bottom w:val="single" w:sz="4" w:space="0" w:color="auto"/>
              <w:right w:val="single" w:sz="4" w:space="0" w:color="BFBFBF"/>
            </w:tcBorders>
            <w:shd w:val="clear" w:color="000000" w:fill="BFBFBF"/>
            <w:noWrap/>
            <w:vAlign w:val="bottom"/>
            <w:hideMark/>
          </w:tcPr>
          <w:p w14:paraId="6FE1A433"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52.0%</w:t>
            </w:r>
          </w:p>
        </w:tc>
        <w:tc>
          <w:tcPr>
            <w:tcW w:w="0" w:type="auto"/>
            <w:tcBorders>
              <w:top w:val="nil"/>
              <w:left w:val="nil"/>
              <w:bottom w:val="single" w:sz="4" w:space="0" w:color="auto"/>
              <w:right w:val="single" w:sz="4" w:space="0" w:color="BFBFBF"/>
            </w:tcBorders>
            <w:shd w:val="clear" w:color="auto" w:fill="auto"/>
            <w:noWrap/>
            <w:vAlign w:val="bottom"/>
            <w:hideMark/>
          </w:tcPr>
          <w:p w14:paraId="3E6523B9"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42.0%</w:t>
            </w:r>
          </w:p>
        </w:tc>
        <w:tc>
          <w:tcPr>
            <w:tcW w:w="0" w:type="auto"/>
            <w:tcBorders>
              <w:top w:val="nil"/>
              <w:left w:val="nil"/>
              <w:bottom w:val="single" w:sz="4" w:space="0" w:color="auto"/>
              <w:right w:val="single" w:sz="4" w:space="0" w:color="BFBFBF"/>
            </w:tcBorders>
            <w:shd w:val="clear" w:color="000000" w:fill="BFBFBF"/>
            <w:noWrap/>
            <w:vAlign w:val="bottom"/>
            <w:hideMark/>
          </w:tcPr>
          <w:p w14:paraId="49184001"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37.0%</w:t>
            </w:r>
          </w:p>
        </w:tc>
        <w:tc>
          <w:tcPr>
            <w:tcW w:w="0" w:type="auto"/>
            <w:tcBorders>
              <w:top w:val="nil"/>
              <w:left w:val="nil"/>
              <w:bottom w:val="single" w:sz="4" w:space="0" w:color="auto"/>
              <w:right w:val="single" w:sz="4" w:space="0" w:color="auto"/>
            </w:tcBorders>
            <w:shd w:val="clear" w:color="auto" w:fill="auto"/>
            <w:noWrap/>
            <w:vAlign w:val="bottom"/>
            <w:hideMark/>
          </w:tcPr>
          <w:p w14:paraId="425C515C" w14:textId="77777777" w:rsidR="00465B59" w:rsidRPr="007D4582" w:rsidRDefault="00465B59" w:rsidP="00F6165B">
            <w:pPr>
              <w:jc w:val="center"/>
              <w:rPr>
                <w:rFonts w:ascii="Arial" w:hAnsi="Arial" w:cs="Arial"/>
                <w:color w:val="000000"/>
                <w:sz w:val="20"/>
                <w:lang w:eastAsia="en-GB"/>
              </w:rPr>
            </w:pPr>
            <w:r w:rsidRPr="007D4582">
              <w:rPr>
                <w:rFonts w:ascii="Arial" w:hAnsi="Arial" w:cs="Arial"/>
                <w:color w:val="000000"/>
                <w:sz w:val="20"/>
                <w:lang w:eastAsia="en-GB"/>
              </w:rPr>
              <w:t>27.5%</w:t>
            </w:r>
          </w:p>
        </w:tc>
      </w:tr>
    </w:tbl>
    <w:p w14:paraId="0A87CA62" w14:textId="77777777" w:rsidR="00465B59" w:rsidRDefault="00465B59" w:rsidP="00465B59">
      <w:pPr>
        <w:pStyle w:val="ListParagraph"/>
        <w:spacing w:line="276" w:lineRule="auto"/>
        <w:ind w:left="567"/>
        <w:rPr>
          <w:rFonts w:ascii="Arial" w:hAnsi="Arial" w:cs="Arial"/>
          <w:szCs w:val="24"/>
        </w:rPr>
      </w:pPr>
    </w:p>
    <w:p w14:paraId="03559F53" w14:textId="6E1DDBD7" w:rsidR="003B55D4" w:rsidRPr="004A3171" w:rsidRDefault="0067707A" w:rsidP="004A3171">
      <w:pPr>
        <w:pStyle w:val="ListParagraph"/>
        <w:numPr>
          <w:ilvl w:val="0"/>
          <w:numId w:val="23"/>
        </w:numPr>
        <w:spacing w:line="276" w:lineRule="auto"/>
        <w:rPr>
          <w:rFonts w:ascii="Arial" w:hAnsi="Arial" w:cs="Arial"/>
          <w:szCs w:val="24"/>
        </w:rPr>
      </w:pPr>
      <w:r>
        <w:rPr>
          <w:rFonts w:ascii="Arial" w:hAnsi="Arial" w:cs="Arial"/>
          <w:szCs w:val="24"/>
        </w:rPr>
        <w:t>Key Stage 2 attain</w:t>
      </w:r>
      <w:r w:rsidR="00264E50">
        <w:rPr>
          <w:rFonts w:ascii="Arial" w:hAnsi="Arial" w:cs="Arial"/>
          <w:szCs w:val="24"/>
        </w:rPr>
        <w:t>ment</w:t>
      </w:r>
      <w:r w:rsidR="00921BDE">
        <w:rPr>
          <w:rFonts w:ascii="Arial" w:hAnsi="Arial" w:cs="Arial"/>
          <w:szCs w:val="24"/>
        </w:rPr>
        <w:t xml:space="preserve"> </w:t>
      </w:r>
      <w:r w:rsidR="003B55D4">
        <w:rPr>
          <w:rFonts w:ascii="Arial" w:hAnsi="Arial" w:cs="Arial"/>
          <w:szCs w:val="24"/>
        </w:rPr>
        <w:t>overall has declined by 1.2</w:t>
      </w:r>
      <w:r w:rsidR="003B55D4" w:rsidRPr="39DD5598">
        <w:rPr>
          <w:rFonts w:ascii="Arial" w:hAnsi="Arial" w:cs="Arial"/>
          <w:szCs w:val="24"/>
        </w:rPr>
        <w:t>% compared to the previous year</w:t>
      </w:r>
      <w:r w:rsidR="003B55D4">
        <w:rPr>
          <w:rFonts w:ascii="Arial" w:hAnsi="Arial" w:cs="Arial"/>
          <w:szCs w:val="24"/>
        </w:rPr>
        <w:t xml:space="preserve"> and </w:t>
      </w:r>
      <w:r w:rsidR="003B55D4" w:rsidRPr="39DD5598">
        <w:rPr>
          <w:rFonts w:ascii="Arial" w:hAnsi="Arial" w:cs="Arial"/>
          <w:szCs w:val="24"/>
        </w:rPr>
        <w:t xml:space="preserve">Hampshire CLA sit below National CLA by </w:t>
      </w:r>
      <w:r w:rsidR="003B55D4">
        <w:rPr>
          <w:rFonts w:ascii="Arial" w:hAnsi="Arial" w:cs="Arial"/>
          <w:szCs w:val="24"/>
        </w:rPr>
        <w:t>2.7</w:t>
      </w:r>
      <w:r w:rsidR="003B55D4" w:rsidRPr="39DD5598">
        <w:rPr>
          <w:rFonts w:ascii="Arial" w:hAnsi="Arial" w:cs="Arial"/>
          <w:szCs w:val="24"/>
        </w:rPr>
        <w:t>%</w:t>
      </w:r>
      <w:r w:rsidR="003B55D4" w:rsidRPr="39DD5598">
        <w:rPr>
          <w:rFonts w:ascii="Arial" w:hAnsi="Arial" w:cs="Arial"/>
          <w:color w:val="0070C0"/>
          <w:szCs w:val="24"/>
        </w:rPr>
        <w:t xml:space="preserve">. </w:t>
      </w:r>
      <w:r w:rsidR="00921BDE" w:rsidRPr="00F11E12">
        <w:rPr>
          <w:rFonts w:ascii="Arial" w:hAnsi="Arial" w:cs="Arial"/>
          <w:color w:val="000000" w:themeColor="text1"/>
          <w:szCs w:val="24"/>
        </w:rPr>
        <w:t>However,</w:t>
      </w:r>
      <w:r w:rsidR="00921BDE">
        <w:rPr>
          <w:rFonts w:ascii="Arial" w:hAnsi="Arial" w:cs="Arial"/>
          <w:color w:val="0070C0"/>
          <w:szCs w:val="24"/>
        </w:rPr>
        <w:t xml:space="preserve"> </w:t>
      </w:r>
      <w:r w:rsidR="003B55D4" w:rsidRPr="00DA66C1">
        <w:rPr>
          <w:rFonts w:ascii="Arial" w:hAnsi="Arial" w:cs="Arial"/>
          <w:szCs w:val="24"/>
        </w:rPr>
        <w:t>Nexus data indicates</w:t>
      </w:r>
      <w:r w:rsidR="003B55D4">
        <w:rPr>
          <w:rFonts w:ascii="Arial" w:hAnsi="Arial" w:cs="Arial"/>
          <w:color w:val="0070C0"/>
          <w:szCs w:val="24"/>
        </w:rPr>
        <w:t xml:space="preserve"> </w:t>
      </w:r>
      <w:r w:rsidR="003B55D4" w:rsidRPr="39DD5598">
        <w:rPr>
          <w:rFonts w:ascii="Arial" w:hAnsi="Arial" w:cs="Arial"/>
          <w:szCs w:val="24"/>
        </w:rPr>
        <w:t>Hampshire CLA sit</w:t>
      </w:r>
      <w:r w:rsidR="003B55D4" w:rsidRPr="39DD5598">
        <w:rPr>
          <w:rFonts w:ascii="Arial" w:hAnsi="Arial" w:cs="Arial"/>
          <w:color w:val="0070C0"/>
          <w:szCs w:val="24"/>
        </w:rPr>
        <w:t xml:space="preserve"> </w:t>
      </w:r>
      <w:r w:rsidR="003B55D4" w:rsidRPr="39DD5598">
        <w:rPr>
          <w:rFonts w:ascii="Arial" w:hAnsi="Arial" w:cs="Arial"/>
          <w:szCs w:val="24"/>
        </w:rPr>
        <w:t xml:space="preserve">above Southeast Region CLA by </w:t>
      </w:r>
      <w:r w:rsidR="003B55D4">
        <w:rPr>
          <w:rFonts w:ascii="Arial" w:hAnsi="Arial" w:cs="Arial"/>
          <w:szCs w:val="24"/>
        </w:rPr>
        <w:t>4.7</w:t>
      </w:r>
      <w:r w:rsidR="003B55D4" w:rsidRPr="39DD5598">
        <w:rPr>
          <w:rFonts w:ascii="Arial" w:hAnsi="Arial" w:cs="Arial"/>
          <w:szCs w:val="24"/>
        </w:rPr>
        <w:t>%.</w:t>
      </w:r>
      <w:r w:rsidR="003B55D4">
        <w:rPr>
          <w:rFonts w:ascii="Arial" w:hAnsi="Arial" w:cs="Arial"/>
          <w:szCs w:val="24"/>
        </w:rPr>
        <w:t xml:space="preserve"> The gap between national and HCC has narrowed across all areas</w:t>
      </w:r>
      <w:r w:rsidR="00884F2A">
        <w:rPr>
          <w:rFonts w:ascii="Arial" w:hAnsi="Arial" w:cs="Arial"/>
          <w:szCs w:val="24"/>
        </w:rPr>
        <w:t xml:space="preserve">, with </w:t>
      </w:r>
      <w:r w:rsidR="004A3171">
        <w:rPr>
          <w:rFonts w:ascii="Arial" w:hAnsi="Arial" w:cs="Arial"/>
          <w:szCs w:val="24"/>
        </w:rPr>
        <w:t>writing and maths above national CLA and reading sitting slightly below.</w:t>
      </w:r>
    </w:p>
    <w:p w14:paraId="2056CD86" w14:textId="77777777" w:rsidR="00EE557E" w:rsidRPr="00EE557E" w:rsidRDefault="00EE557E" w:rsidP="00EE557E">
      <w:pPr>
        <w:rPr>
          <w:rFonts w:ascii="Arial" w:hAnsi="Arial" w:cs="Arial"/>
          <w:bCs/>
          <w:kern w:val="3"/>
          <w:szCs w:val="24"/>
          <w:highlight w:val="yellow"/>
        </w:rPr>
      </w:pPr>
    </w:p>
    <w:p w14:paraId="656E503E" w14:textId="77777777" w:rsidR="00EE557E" w:rsidRDefault="00EE557E" w:rsidP="00EE557E">
      <w:pPr>
        <w:pStyle w:val="ListParagraph"/>
        <w:numPr>
          <w:ilvl w:val="0"/>
          <w:numId w:val="23"/>
        </w:numPr>
        <w:spacing w:line="276" w:lineRule="auto"/>
        <w:rPr>
          <w:rFonts w:ascii="Arial" w:hAnsi="Arial" w:cs="Arial"/>
          <w:szCs w:val="24"/>
        </w:rPr>
      </w:pPr>
      <w:r w:rsidRPr="1B3580C3">
        <w:rPr>
          <w:rFonts w:ascii="Arial" w:hAnsi="Arial" w:cs="Arial"/>
          <w:szCs w:val="24"/>
        </w:rPr>
        <w:t>There were 82 children in the OC2 cohort. Within this cohort, 21 children had an EHCP (25.6%), 7 of these children have SEMH as a designation.  20 children (24.3%) were on SEN support. This is a combined total of 49.9% of children with SEND.</w:t>
      </w:r>
    </w:p>
    <w:p w14:paraId="518C4B43" w14:textId="77777777" w:rsidR="00916FA5" w:rsidRPr="00916FA5" w:rsidRDefault="00916FA5" w:rsidP="00916FA5">
      <w:pPr>
        <w:spacing w:line="276" w:lineRule="auto"/>
        <w:rPr>
          <w:rFonts w:ascii="Arial" w:hAnsi="Arial" w:cs="Arial"/>
          <w:szCs w:val="24"/>
        </w:rPr>
      </w:pPr>
    </w:p>
    <w:p w14:paraId="0273AFD0" w14:textId="4E72AF04" w:rsidR="00C401CB" w:rsidRPr="00C401CB" w:rsidRDefault="00916FA5" w:rsidP="00916FA5">
      <w:pPr>
        <w:pStyle w:val="ListParagraph"/>
        <w:numPr>
          <w:ilvl w:val="0"/>
          <w:numId w:val="23"/>
        </w:numPr>
        <w:spacing w:line="276" w:lineRule="auto"/>
        <w:rPr>
          <w:rFonts w:ascii="Arial" w:hAnsi="Arial" w:cs="Arial"/>
          <w:szCs w:val="24"/>
        </w:rPr>
      </w:pPr>
      <w:r>
        <w:rPr>
          <w:rFonts w:ascii="Arial" w:hAnsi="Arial" w:cs="Arial"/>
          <w:szCs w:val="24"/>
        </w:rPr>
        <w:t xml:space="preserve">Key Stage 4 </w:t>
      </w:r>
      <w:r w:rsidR="00610D15">
        <w:rPr>
          <w:rFonts w:ascii="Arial" w:hAnsi="Arial" w:cs="Arial"/>
          <w:szCs w:val="24"/>
        </w:rPr>
        <w:t xml:space="preserve">data </w:t>
      </w:r>
      <w:r w:rsidRPr="00A06493">
        <w:rPr>
          <w:rFonts w:ascii="Arial" w:hAnsi="Arial" w:cs="Arial"/>
          <w:szCs w:val="24"/>
        </w:rPr>
        <w:t>is collated and presented by the Data and Information Team, and sourced from Nexus and supplemented by DQC collection</w:t>
      </w:r>
      <w:r>
        <w:rPr>
          <w:rFonts w:ascii="Arial" w:hAnsi="Arial" w:cs="Arial"/>
          <w:szCs w:val="24"/>
        </w:rPr>
        <w:t>.</w:t>
      </w:r>
    </w:p>
    <w:p w14:paraId="3C872CC1" w14:textId="77777777" w:rsidR="00916FA5" w:rsidRPr="00A06493" w:rsidRDefault="00916FA5" w:rsidP="00916FA5">
      <w:pPr>
        <w:spacing w:line="276" w:lineRule="auto"/>
        <w:rPr>
          <w:rFonts w:ascii="Arial" w:hAnsi="Arial" w:cs="Arial"/>
          <w:szCs w:val="24"/>
        </w:rPr>
      </w:pPr>
    </w:p>
    <w:tbl>
      <w:tblPr>
        <w:tblW w:w="10100" w:type="dxa"/>
        <w:tblInd w:w="-798" w:type="dxa"/>
        <w:tblLook w:val="04A0" w:firstRow="1" w:lastRow="0" w:firstColumn="1" w:lastColumn="0" w:noHBand="0" w:noVBand="1"/>
      </w:tblPr>
      <w:tblGrid>
        <w:gridCol w:w="1460"/>
        <w:gridCol w:w="1440"/>
        <w:gridCol w:w="1440"/>
        <w:gridCol w:w="1440"/>
        <w:gridCol w:w="1440"/>
        <w:gridCol w:w="1440"/>
        <w:gridCol w:w="1440"/>
      </w:tblGrid>
      <w:tr w:rsidR="00916FA5" w:rsidRPr="003C719C" w14:paraId="53A47D8D" w14:textId="77777777" w:rsidTr="00F6165B">
        <w:trPr>
          <w:trHeight w:val="260"/>
        </w:trPr>
        <w:tc>
          <w:tcPr>
            <w:tcW w:w="1460" w:type="dxa"/>
            <w:vMerge w:val="restart"/>
            <w:tcBorders>
              <w:top w:val="single" w:sz="4" w:space="0" w:color="auto"/>
              <w:left w:val="single" w:sz="4" w:space="0" w:color="auto"/>
              <w:bottom w:val="single" w:sz="4" w:space="0" w:color="000000"/>
              <w:right w:val="single" w:sz="4" w:space="0" w:color="auto"/>
            </w:tcBorders>
            <w:shd w:val="clear" w:color="000000" w:fill="F8CBAD"/>
            <w:hideMark/>
          </w:tcPr>
          <w:p w14:paraId="28CCBECF"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Exam Year</w:t>
            </w:r>
          </w:p>
        </w:tc>
        <w:tc>
          <w:tcPr>
            <w:tcW w:w="2880" w:type="dxa"/>
            <w:gridSpan w:val="2"/>
            <w:tcBorders>
              <w:top w:val="single" w:sz="4" w:space="0" w:color="auto"/>
              <w:left w:val="nil"/>
              <w:bottom w:val="single" w:sz="4" w:space="0" w:color="auto"/>
              <w:right w:val="nil"/>
            </w:tcBorders>
            <w:shd w:val="clear" w:color="000000" w:fill="E2EFDA"/>
            <w:hideMark/>
          </w:tcPr>
          <w:p w14:paraId="51C0C4BE"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Attainment 8</w:t>
            </w:r>
          </w:p>
        </w:tc>
        <w:tc>
          <w:tcPr>
            <w:tcW w:w="2880" w:type="dxa"/>
            <w:gridSpan w:val="2"/>
            <w:tcBorders>
              <w:top w:val="single" w:sz="4" w:space="0" w:color="auto"/>
              <w:left w:val="single" w:sz="4" w:space="0" w:color="auto"/>
              <w:bottom w:val="single" w:sz="4" w:space="0" w:color="auto"/>
              <w:right w:val="nil"/>
            </w:tcBorders>
            <w:shd w:val="clear" w:color="000000" w:fill="CCCCFF"/>
            <w:hideMark/>
          </w:tcPr>
          <w:p w14:paraId="6B489A0B"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Progress 8</w:t>
            </w:r>
          </w:p>
        </w:tc>
        <w:tc>
          <w:tcPr>
            <w:tcW w:w="2880" w:type="dxa"/>
            <w:gridSpan w:val="2"/>
            <w:tcBorders>
              <w:top w:val="single" w:sz="4" w:space="0" w:color="auto"/>
              <w:left w:val="single" w:sz="4" w:space="0" w:color="auto"/>
              <w:bottom w:val="nil"/>
              <w:right w:val="single" w:sz="4" w:space="0" w:color="000000"/>
            </w:tcBorders>
            <w:shd w:val="clear" w:color="000000" w:fill="FFFFCC"/>
            <w:vAlign w:val="center"/>
            <w:hideMark/>
          </w:tcPr>
          <w:p w14:paraId="5B4A7CD9"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Basics 9-5</w:t>
            </w:r>
          </w:p>
        </w:tc>
      </w:tr>
      <w:tr w:rsidR="00916FA5" w:rsidRPr="003C719C" w14:paraId="27B40F85" w14:textId="77777777" w:rsidTr="00F6165B">
        <w:trPr>
          <w:trHeight w:val="260"/>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68717990" w14:textId="77777777" w:rsidR="00916FA5" w:rsidRPr="003C719C" w:rsidRDefault="00916FA5" w:rsidP="00F6165B">
            <w:pPr>
              <w:rPr>
                <w:rFonts w:ascii="Arial" w:hAnsi="Arial" w:cs="Arial"/>
                <w:b/>
                <w:bCs/>
                <w:color w:val="000000"/>
                <w:sz w:val="20"/>
                <w:lang w:eastAsia="en-GB"/>
              </w:rPr>
            </w:pPr>
          </w:p>
        </w:tc>
        <w:tc>
          <w:tcPr>
            <w:tcW w:w="1440" w:type="dxa"/>
            <w:tcBorders>
              <w:top w:val="nil"/>
              <w:left w:val="nil"/>
              <w:bottom w:val="single" w:sz="4" w:space="0" w:color="auto"/>
              <w:right w:val="single" w:sz="4" w:space="0" w:color="auto"/>
            </w:tcBorders>
            <w:shd w:val="clear" w:color="000000" w:fill="E2EFDA"/>
            <w:hideMark/>
          </w:tcPr>
          <w:p w14:paraId="6451865E"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National</w:t>
            </w:r>
          </w:p>
        </w:tc>
        <w:tc>
          <w:tcPr>
            <w:tcW w:w="1440" w:type="dxa"/>
            <w:tcBorders>
              <w:top w:val="nil"/>
              <w:left w:val="nil"/>
              <w:bottom w:val="single" w:sz="4" w:space="0" w:color="auto"/>
              <w:right w:val="single" w:sz="4" w:space="0" w:color="auto"/>
            </w:tcBorders>
            <w:shd w:val="clear" w:color="000000" w:fill="E2EFDA"/>
            <w:hideMark/>
          </w:tcPr>
          <w:p w14:paraId="269CA40F"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HCC</w:t>
            </w:r>
          </w:p>
        </w:tc>
        <w:tc>
          <w:tcPr>
            <w:tcW w:w="1440" w:type="dxa"/>
            <w:tcBorders>
              <w:top w:val="nil"/>
              <w:left w:val="nil"/>
              <w:bottom w:val="single" w:sz="4" w:space="0" w:color="auto"/>
              <w:right w:val="single" w:sz="4" w:space="0" w:color="auto"/>
            </w:tcBorders>
            <w:shd w:val="clear" w:color="000000" w:fill="CCCCFF"/>
            <w:hideMark/>
          </w:tcPr>
          <w:p w14:paraId="624E9A1B"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National</w:t>
            </w:r>
          </w:p>
        </w:tc>
        <w:tc>
          <w:tcPr>
            <w:tcW w:w="1440" w:type="dxa"/>
            <w:tcBorders>
              <w:top w:val="nil"/>
              <w:left w:val="nil"/>
              <w:bottom w:val="single" w:sz="4" w:space="0" w:color="auto"/>
              <w:right w:val="single" w:sz="4" w:space="0" w:color="auto"/>
            </w:tcBorders>
            <w:shd w:val="clear" w:color="000000" w:fill="CCCCFF"/>
            <w:hideMark/>
          </w:tcPr>
          <w:p w14:paraId="7C7AE2A9"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HCC</w:t>
            </w:r>
          </w:p>
        </w:tc>
        <w:tc>
          <w:tcPr>
            <w:tcW w:w="1440" w:type="dxa"/>
            <w:tcBorders>
              <w:top w:val="single" w:sz="4" w:space="0" w:color="auto"/>
              <w:left w:val="nil"/>
              <w:bottom w:val="single" w:sz="4" w:space="0" w:color="auto"/>
              <w:right w:val="single" w:sz="4" w:space="0" w:color="auto"/>
            </w:tcBorders>
            <w:shd w:val="clear" w:color="000000" w:fill="FFFFCC"/>
            <w:hideMark/>
          </w:tcPr>
          <w:p w14:paraId="115659F8"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National</w:t>
            </w:r>
          </w:p>
        </w:tc>
        <w:tc>
          <w:tcPr>
            <w:tcW w:w="1440" w:type="dxa"/>
            <w:tcBorders>
              <w:top w:val="single" w:sz="4" w:space="0" w:color="auto"/>
              <w:left w:val="nil"/>
              <w:bottom w:val="single" w:sz="4" w:space="0" w:color="auto"/>
              <w:right w:val="single" w:sz="4" w:space="0" w:color="auto"/>
            </w:tcBorders>
            <w:shd w:val="clear" w:color="000000" w:fill="FFFFCC"/>
            <w:hideMark/>
          </w:tcPr>
          <w:p w14:paraId="38C63A37"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HCC</w:t>
            </w:r>
          </w:p>
        </w:tc>
      </w:tr>
      <w:tr w:rsidR="00916FA5" w:rsidRPr="003C719C" w14:paraId="7A452E74" w14:textId="77777777" w:rsidTr="00F6165B">
        <w:trPr>
          <w:trHeight w:val="25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1C43C5B" w14:textId="77777777" w:rsidR="00916FA5" w:rsidRPr="003C719C" w:rsidRDefault="00916FA5" w:rsidP="00F6165B">
            <w:pPr>
              <w:rPr>
                <w:rFonts w:ascii="Arial" w:hAnsi="Arial" w:cs="Arial"/>
                <w:b/>
                <w:bCs/>
                <w:color w:val="000000"/>
                <w:sz w:val="20"/>
                <w:lang w:eastAsia="en-GB"/>
              </w:rPr>
            </w:pPr>
            <w:r w:rsidRPr="003C719C">
              <w:rPr>
                <w:rFonts w:ascii="Arial" w:hAnsi="Arial" w:cs="Arial"/>
                <w:b/>
                <w:bCs/>
                <w:color w:val="000000"/>
                <w:sz w:val="20"/>
                <w:lang w:eastAsia="en-GB"/>
              </w:rPr>
              <w:t>2024</w:t>
            </w:r>
          </w:p>
        </w:tc>
        <w:tc>
          <w:tcPr>
            <w:tcW w:w="1440" w:type="dxa"/>
            <w:tcBorders>
              <w:top w:val="nil"/>
              <w:left w:val="nil"/>
              <w:bottom w:val="single" w:sz="4" w:space="0" w:color="auto"/>
              <w:right w:val="single" w:sz="4" w:space="0" w:color="auto"/>
            </w:tcBorders>
            <w:shd w:val="clear" w:color="auto" w:fill="auto"/>
            <w:noWrap/>
            <w:vAlign w:val="bottom"/>
            <w:hideMark/>
          </w:tcPr>
          <w:p w14:paraId="204C3D23"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23.2</w:t>
            </w:r>
          </w:p>
        </w:tc>
        <w:tc>
          <w:tcPr>
            <w:tcW w:w="1440" w:type="dxa"/>
            <w:tcBorders>
              <w:top w:val="nil"/>
              <w:left w:val="nil"/>
              <w:bottom w:val="single" w:sz="4" w:space="0" w:color="auto"/>
              <w:right w:val="single" w:sz="4" w:space="0" w:color="auto"/>
            </w:tcBorders>
            <w:shd w:val="clear" w:color="auto" w:fill="auto"/>
            <w:noWrap/>
            <w:vAlign w:val="bottom"/>
            <w:hideMark/>
          </w:tcPr>
          <w:p w14:paraId="27D22588"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22.3</w:t>
            </w:r>
          </w:p>
        </w:tc>
        <w:tc>
          <w:tcPr>
            <w:tcW w:w="1440" w:type="dxa"/>
            <w:tcBorders>
              <w:top w:val="nil"/>
              <w:left w:val="nil"/>
              <w:bottom w:val="single" w:sz="4" w:space="0" w:color="auto"/>
              <w:right w:val="single" w:sz="4" w:space="0" w:color="auto"/>
            </w:tcBorders>
            <w:shd w:val="clear" w:color="auto" w:fill="auto"/>
            <w:noWrap/>
            <w:vAlign w:val="bottom"/>
            <w:hideMark/>
          </w:tcPr>
          <w:p w14:paraId="43F6A6A0"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-1.14</w:t>
            </w:r>
          </w:p>
        </w:tc>
        <w:tc>
          <w:tcPr>
            <w:tcW w:w="1440" w:type="dxa"/>
            <w:tcBorders>
              <w:top w:val="nil"/>
              <w:left w:val="nil"/>
              <w:bottom w:val="single" w:sz="4" w:space="0" w:color="auto"/>
              <w:right w:val="single" w:sz="4" w:space="0" w:color="auto"/>
            </w:tcBorders>
            <w:shd w:val="clear" w:color="auto" w:fill="auto"/>
            <w:noWrap/>
            <w:vAlign w:val="bottom"/>
            <w:hideMark/>
          </w:tcPr>
          <w:p w14:paraId="68632841"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-1.05</w:t>
            </w:r>
          </w:p>
        </w:tc>
        <w:tc>
          <w:tcPr>
            <w:tcW w:w="1440" w:type="dxa"/>
            <w:tcBorders>
              <w:top w:val="nil"/>
              <w:left w:val="nil"/>
              <w:bottom w:val="single" w:sz="4" w:space="0" w:color="auto"/>
              <w:right w:val="single" w:sz="4" w:space="0" w:color="auto"/>
            </w:tcBorders>
            <w:shd w:val="clear" w:color="auto" w:fill="auto"/>
            <w:noWrap/>
            <w:vAlign w:val="bottom"/>
            <w:hideMark/>
          </w:tcPr>
          <w:p w14:paraId="3F0C478A"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12.0%</w:t>
            </w:r>
          </w:p>
        </w:tc>
        <w:tc>
          <w:tcPr>
            <w:tcW w:w="1440" w:type="dxa"/>
            <w:tcBorders>
              <w:top w:val="nil"/>
              <w:left w:val="nil"/>
              <w:bottom w:val="single" w:sz="4" w:space="0" w:color="auto"/>
              <w:right w:val="single" w:sz="4" w:space="0" w:color="auto"/>
            </w:tcBorders>
            <w:shd w:val="clear" w:color="auto" w:fill="auto"/>
            <w:noWrap/>
            <w:vAlign w:val="bottom"/>
            <w:hideMark/>
          </w:tcPr>
          <w:p w14:paraId="5521519F" w14:textId="77777777" w:rsidR="00916FA5" w:rsidRPr="003C719C" w:rsidRDefault="00916FA5" w:rsidP="00F6165B">
            <w:pPr>
              <w:jc w:val="center"/>
              <w:rPr>
                <w:rFonts w:ascii="Arial" w:hAnsi="Arial" w:cs="Arial"/>
                <w:b/>
                <w:bCs/>
                <w:color w:val="000000"/>
                <w:sz w:val="20"/>
                <w:lang w:eastAsia="en-GB"/>
              </w:rPr>
            </w:pPr>
            <w:r w:rsidRPr="003C719C">
              <w:rPr>
                <w:rFonts w:ascii="Arial" w:hAnsi="Arial" w:cs="Arial"/>
                <w:b/>
                <w:bCs/>
                <w:color w:val="000000"/>
                <w:sz w:val="20"/>
                <w:lang w:eastAsia="en-GB"/>
              </w:rPr>
              <w:t>7.6%</w:t>
            </w:r>
          </w:p>
        </w:tc>
      </w:tr>
      <w:tr w:rsidR="00916FA5" w:rsidRPr="003C719C" w14:paraId="3ABDEFBA" w14:textId="77777777" w:rsidTr="00F6165B">
        <w:trPr>
          <w:trHeight w:val="25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B141558" w14:textId="77777777" w:rsidR="00916FA5" w:rsidRPr="003C719C" w:rsidRDefault="00916FA5" w:rsidP="00F6165B">
            <w:pPr>
              <w:rPr>
                <w:rFonts w:ascii="Arial" w:hAnsi="Arial" w:cs="Arial"/>
                <w:color w:val="000000"/>
                <w:sz w:val="20"/>
                <w:lang w:eastAsia="en-GB"/>
              </w:rPr>
            </w:pPr>
            <w:r w:rsidRPr="003C719C">
              <w:rPr>
                <w:rFonts w:ascii="Arial" w:hAnsi="Arial" w:cs="Arial"/>
                <w:color w:val="000000"/>
                <w:sz w:val="20"/>
                <w:lang w:eastAsia="en-GB"/>
              </w:rPr>
              <w:t>2023</w:t>
            </w:r>
          </w:p>
        </w:tc>
        <w:tc>
          <w:tcPr>
            <w:tcW w:w="1440" w:type="dxa"/>
            <w:tcBorders>
              <w:top w:val="nil"/>
              <w:left w:val="nil"/>
              <w:bottom w:val="single" w:sz="4" w:space="0" w:color="auto"/>
              <w:right w:val="single" w:sz="4" w:space="0" w:color="auto"/>
            </w:tcBorders>
            <w:shd w:val="clear" w:color="auto" w:fill="auto"/>
            <w:noWrap/>
            <w:vAlign w:val="bottom"/>
            <w:hideMark/>
          </w:tcPr>
          <w:p w14:paraId="5C83BEE3"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19.9</w:t>
            </w:r>
          </w:p>
        </w:tc>
        <w:tc>
          <w:tcPr>
            <w:tcW w:w="1440" w:type="dxa"/>
            <w:tcBorders>
              <w:top w:val="nil"/>
              <w:left w:val="nil"/>
              <w:bottom w:val="single" w:sz="4" w:space="0" w:color="auto"/>
              <w:right w:val="single" w:sz="4" w:space="0" w:color="auto"/>
            </w:tcBorders>
            <w:shd w:val="clear" w:color="auto" w:fill="auto"/>
            <w:noWrap/>
            <w:vAlign w:val="bottom"/>
            <w:hideMark/>
          </w:tcPr>
          <w:p w14:paraId="453EF636" w14:textId="77777777" w:rsidR="00916FA5" w:rsidRPr="003C719C" w:rsidRDefault="00916FA5" w:rsidP="00F6165B">
            <w:pPr>
              <w:jc w:val="center"/>
              <w:rPr>
                <w:rFonts w:ascii="Arial" w:hAnsi="Arial" w:cs="Arial"/>
                <w:color w:val="000000"/>
                <w:sz w:val="20"/>
                <w:lang w:eastAsia="en-GB"/>
              </w:rPr>
            </w:pPr>
            <w:r>
              <w:rPr>
                <w:rFonts w:ascii="Arial" w:hAnsi="Arial" w:cs="Arial"/>
                <w:color w:val="000000"/>
                <w:sz w:val="20"/>
                <w:lang w:eastAsia="en-GB"/>
              </w:rPr>
              <w:t>20.5</w:t>
            </w:r>
          </w:p>
        </w:tc>
        <w:tc>
          <w:tcPr>
            <w:tcW w:w="1440" w:type="dxa"/>
            <w:tcBorders>
              <w:top w:val="nil"/>
              <w:left w:val="nil"/>
              <w:bottom w:val="single" w:sz="4" w:space="0" w:color="auto"/>
              <w:right w:val="single" w:sz="4" w:space="0" w:color="auto"/>
            </w:tcBorders>
            <w:shd w:val="clear" w:color="auto" w:fill="auto"/>
            <w:noWrap/>
            <w:vAlign w:val="bottom"/>
            <w:hideMark/>
          </w:tcPr>
          <w:p w14:paraId="1B78571A"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-1.25</w:t>
            </w:r>
          </w:p>
        </w:tc>
        <w:tc>
          <w:tcPr>
            <w:tcW w:w="1440" w:type="dxa"/>
            <w:tcBorders>
              <w:top w:val="nil"/>
              <w:left w:val="nil"/>
              <w:bottom w:val="single" w:sz="4" w:space="0" w:color="auto"/>
              <w:right w:val="single" w:sz="4" w:space="0" w:color="auto"/>
            </w:tcBorders>
            <w:shd w:val="clear" w:color="auto" w:fill="auto"/>
            <w:noWrap/>
            <w:vAlign w:val="bottom"/>
            <w:hideMark/>
          </w:tcPr>
          <w:p w14:paraId="72B23FFB"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-1.23</w:t>
            </w:r>
          </w:p>
        </w:tc>
        <w:tc>
          <w:tcPr>
            <w:tcW w:w="1440" w:type="dxa"/>
            <w:tcBorders>
              <w:top w:val="nil"/>
              <w:left w:val="nil"/>
              <w:bottom w:val="single" w:sz="4" w:space="0" w:color="auto"/>
              <w:right w:val="single" w:sz="4" w:space="0" w:color="auto"/>
            </w:tcBorders>
            <w:shd w:val="clear" w:color="auto" w:fill="auto"/>
            <w:noWrap/>
            <w:vAlign w:val="bottom"/>
            <w:hideMark/>
          </w:tcPr>
          <w:p w14:paraId="3B4D8196"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277125A5"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10.1%</w:t>
            </w:r>
          </w:p>
        </w:tc>
      </w:tr>
      <w:tr w:rsidR="00916FA5" w:rsidRPr="003C719C" w14:paraId="456AB2E8" w14:textId="77777777" w:rsidTr="00F6165B">
        <w:trPr>
          <w:trHeight w:val="25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3A282AC" w14:textId="77777777" w:rsidR="00916FA5" w:rsidRPr="003C719C" w:rsidRDefault="00916FA5" w:rsidP="00F6165B">
            <w:pPr>
              <w:rPr>
                <w:rFonts w:ascii="Arial" w:hAnsi="Arial" w:cs="Arial"/>
                <w:color w:val="000000"/>
                <w:sz w:val="20"/>
                <w:lang w:eastAsia="en-GB"/>
              </w:rPr>
            </w:pPr>
            <w:r w:rsidRPr="003C719C">
              <w:rPr>
                <w:rFonts w:ascii="Arial" w:hAnsi="Arial" w:cs="Arial"/>
                <w:color w:val="000000"/>
                <w:sz w:val="20"/>
                <w:lang w:eastAsia="en-GB"/>
              </w:rPr>
              <w:t>2022</w:t>
            </w:r>
          </w:p>
        </w:tc>
        <w:tc>
          <w:tcPr>
            <w:tcW w:w="1440" w:type="dxa"/>
            <w:tcBorders>
              <w:top w:val="nil"/>
              <w:left w:val="nil"/>
              <w:bottom w:val="single" w:sz="4" w:space="0" w:color="auto"/>
              <w:right w:val="single" w:sz="4" w:space="0" w:color="auto"/>
            </w:tcBorders>
            <w:shd w:val="clear" w:color="auto" w:fill="auto"/>
            <w:noWrap/>
            <w:vAlign w:val="bottom"/>
            <w:hideMark/>
          </w:tcPr>
          <w:p w14:paraId="2C7BBAA1"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25.9</w:t>
            </w:r>
          </w:p>
        </w:tc>
        <w:tc>
          <w:tcPr>
            <w:tcW w:w="1440" w:type="dxa"/>
            <w:tcBorders>
              <w:top w:val="nil"/>
              <w:left w:val="nil"/>
              <w:bottom w:val="single" w:sz="4" w:space="0" w:color="auto"/>
              <w:right w:val="single" w:sz="4" w:space="0" w:color="auto"/>
            </w:tcBorders>
            <w:shd w:val="clear" w:color="auto" w:fill="auto"/>
            <w:noWrap/>
            <w:vAlign w:val="bottom"/>
            <w:hideMark/>
          </w:tcPr>
          <w:p w14:paraId="21B38A88"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20.1</w:t>
            </w:r>
          </w:p>
        </w:tc>
        <w:tc>
          <w:tcPr>
            <w:tcW w:w="1440" w:type="dxa"/>
            <w:tcBorders>
              <w:top w:val="nil"/>
              <w:left w:val="nil"/>
              <w:bottom w:val="single" w:sz="4" w:space="0" w:color="auto"/>
              <w:right w:val="single" w:sz="4" w:space="0" w:color="auto"/>
            </w:tcBorders>
            <w:shd w:val="clear" w:color="auto" w:fill="auto"/>
            <w:noWrap/>
            <w:vAlign w:val="bottom"/>
            <w:hideMark/>
          </w:tcPr>
          <w:p w14:paraId="7FD6474A"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-1.06</w:t>
            </w:r>
          </w:p>
        </w:tc>
        <w:tc>
          <w:tcPr>
            <w:tcW w:w="1440" w:type="dxa"/>
            <w:tcBorders>
              <w:top w:val="nil"/>
              <w:left w:val="nil"/>
              <w:bottom w:val="single" w:sz="4" w:space="0" w:color="auto"/>
              <w:right w:val="single" w:sz="4" w:space="0" w:color="auto"/>
            </w:tcBorders>
            <w:shd w:val="clear" w:color="auto" w:fill="auto"/>
            <w:noWrap/>
            <w:vAlign w:val="bottom"/>
            <w:hideMark/>
          </w:tcPr>
          <w:p w14:paraId="5A79D173"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-1.40</w:t>
            </w:r>
          </w:p>
        </w:tc>
        <w:tc>
          <w:tcPr>
            <w:tcW w:w="1440" w:type="dxa"/>
            <w:tcBorders>
              <w:top w:val="nil"/>
              <w:left w:val="nil"/>
              <w:bottom w:val="single" w:sz="4" w:space="0" w:color="auto"/>
              <w:right w:val="single" w:sz="4" w:space="0" w:color="auto"/>
            </w:tcBorders>
            <w:shd w:val="clear" w:color="auto" w:fill="auto"/>
            <w:noWrap/>
            <w:vAlign w:val="bottom"/>
            <w:hideMark/>
          </w:tcPr>
          <w:p w14:paraId="0E651474"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14.0%</w:t>
            </w:r>
          </w:p>
        </w:tc>
        <w:tc>
          <w:tcPr>
            <w:tcW w:w="1440" w:type="dxa"/>
            <w:tcBorders>
              <w:top w:val="nil"/>
              <w:left w:val="nil"/>
              <w:bottom w:val="single" w:sz="4" w:space="0" w:color="auto"/>
              <w:right w:val="single" w:sz="4" w:space="0" w:color="auto"/>
            </w:tcBorders>
            <w:shd w:val="clear" w:color="auto" w:fill="auto"/>
            <w:noWrap/>
            <w:vAlign w:val="bottom"/>
            <w:hideMark/>
          </w:tcPr>
          <w:p w14:paraId="56CE5A4A"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12.2%</w:t>
            </w:r>
          </w:p>
        </w:tc>
      </w:tr>
      <w:tr w:rsidR="00916FA5" w:rsidRPr="003C719C" w14:paraId="171A171B" w14:textId="77777777" w:rsidTr="00F6165B">
        <w:trPr>
          <w:trHeight w:val="25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95E48F2" w14:textId="77777777" w:rsidR="00916FA5" w:rsidRPr="003C719C" w:rsidRDefault="00916FA5" w:rsidP="00F6165B">
            <w:pPr>
              <w:rPr>
                <w:rFonts w:ascii="Arial" w:hAnsi="Arial" w:cs="Arial"/>
                <w:color w:val="000000"/>
                <w:sz w:val="20"/>
                <w:lang w:eastAsia="en-GB"/>
              </w:rPr>
            </w:pPr>
            <w:r w:rsidRPr="003C719C">
              <w:rPr>
                <w:rFonts w:ascii="Arial" w:hAnsi="Arial" w:cs="Arial"/>
                <w:color w:val="000000"/>
                <w:sz w:val="20"/>
                <w:lang w:eastAsia="en-GB"/>
              </w:rPr>
              <w:t>2019</w:t>
            </w:r>
          </w:p>
        </w:tc>
        <w:tc>
          <w:tcPr>
            <w:tcW w:w="1440" w:type="dxa"/>
            <w:tcBorders>
              <w:top w:val="nil"/>
              <w:left w:val="nil"/>
              <w:bottom w:val="single" w:sz="4" w:space="0" w:color="auto"/>
              <w:right w:val="single" w:sz="4" w:space="0" w:color="auto"/>
            </w:tcBorders>
            <w:shd w:val="clear" w:color="auto" w:fill="auto"/>
            <w:noWrap/>
            <w:vAlign w:val="bottom"/>
            <w:hideMark/>
          </w:tcPr>
          <w:p w14:paraId="21213D83"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25</w:t>
            </w:r>
          </w:p>
        </w:tc>
        <w:tc>
          <w:tcPr>
            <w:tcW w:w="1440" w:type="dxa"/>
            <w:tcBorders>
              <w:top w:val="nil"/>
              <w:left w:val="nil"/>
              <w:bottom w:val="single" w:sz="4" w:space="0" w:color="auto"/>
              <w:right w:val="single" w:sz="4" w:space="0" w:color="auto"/>
            </w:tcBorders>
            <w:shd w:val="clear" w:color="auto" w:fill="auto"/>
            <w:noWrap/>
            <w:vAlign w:val="bottom"/>
            <w:hideMark/>
          </w:tcPr>
          <w:p w14:paraId="13419D04"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22.6</w:t>
            </w:r>
          </w:p>
        </w:tc>
        <w:tc>
          <w:tcPr>
            <w:tcW w:w="1440" w:type="dxa"/>
            <w:tcBorders>
              <w:top w:val="nil"/>
              <w:left w:val="nil"/>
              <w:bottom w:val="single" w:sz="4" w:space="0" w:color="auto"/>
              <w:right w:val="single" w:sz="4" w:space="0" w:color="auto"/>
            </w:tcBorders>
            <w:shd w:val="clear" w:color="auto" w:fill="auto"/>
            <w:noWrap/>
            <w:vAlign w:val="bottom"/>
            <w:hideMark/>
          </w:tcPr>
          <w:p w14:paraId="57314E6F"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-0.97</w:t>
            </w:r>
          </w:p>
        </w:tc>
        <w:tc>
          <w:tcPr>
            <w:tcW w:w="1440" w:type="dxa"/>
            <w:tcBorders>
              <w:top w:val="nil"/>
              <w:left w:val="nil"/>
              <w:bottom w:val="single" w:sz="4" w:space="0" w:color="auto"/>
              <w:right w:val="single" w:sz="4" w:space="0" w:color="auto"/>
            </w:tcBorders>
            <w:shd w:val="clear" w:color="auto" w:fill="auto"/>
            <w:noWrap/>
            <w:vAlign w:val="bottom"/>
            <w:hideMark/>
          </w:tcPr>
          <w:p w14:paraId="199AEA11"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-1.17</w:t>
            </w:r>
          </w:p>
        </w:tc>
        <w:tc>
          <w:tcPr>
            <w:tcW w:w="1440" w:type="dxa"/>
            <w:tcBorders>
              <w:top w:val="nil"/>
              <w:left w:val="nil"/>
              <w:bottom w:val="single" w:sz="4" w:space="0" w:color="auto"/>
              <w:right w:val="single" w:sz="4" w:space="0" w:color="auto"/>
            </w:tcBorders>
            <w:shd w:val="clear" w:color="auto" w:fill="auto"/>
            <w:noWrap/>
            <w:vAlign w:val="bottom"/>
            <w:hideMark/>
          </w:tcPr>
          <w:p w14:paraId="67125DAC"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46A084F9" w14:textId="77777777" w:rsidR="00916FA5" w:rsidRPr="003C719C" w:rsidRDefault="00916FA5" w:rsidP="00F6165B">
            <w:pPr>
              <w:jc w:val="center"/>
              <w:rPr>
                <w:rFonts w:ascii="Arial" w:hAnsi="Arial" w:cs="Arial"/>
                <w:color w:val="000000"/>
                <w:sz w:val="20"/>
                <w:lang w:eastAsia="en-GB"/>
              </w:rPr>
            </w:pPr>
            <w:r w:rsidRPr="003C719C">
              <w:rPr>
                <w:rFonts w:ascii="Arial" w:hAnsi="Arial" w:cs="Arial"/>
                <w:color w:val="000000"/>
                <w:sz w:val="20"/>
                <w:lang w:eastAsia="en-GB"/>
              </w:rPr>
              <w:t>4.5%</w:t>
            </w:r>
          </w:p>
        </w:tc>
      </w:tr>
    </w:tbl>
    <w:p w14:paraId="0E302C79" w14:textId="77777777" w:rsidR="00916FA5" w:rsidRPr="00916FA5" w:rsidRDefault="00916FA5" w:rsidP="00916FA5">
      <w:pPr>
        <w:pStyle w:val="ListParagraph"/>
        <w:rPr>
          <w:rFonts w:ascii="Arial" w:hAnsi="Arial" w:cs="Arial"/>
          <w:szCs w:val="24"/>
        </w:rPr>
      </w:pPr>
    </w:p>
    <w:p w14:paraId="2ED37BA5" w14:textId="61FA11DE" w:rsidR="00DB1C09" w:rsidRDefault="00DB1C09" w:rsidP="00DB1C09">
      <w:pPr>
        <w:pStyle w:val="ListParagraph"/>
        <w:numPr>
          <w:ilvl w:val="0"/>
          <w:numId w:val="23"/>
        </w:numPr>
        <w:spacing w:line="276" w:lineRule="auto"/>
        <w:rPr>
          <w:rFonts w:ascii="Arial" w:hAnsi="Arial" w:cs="Arial"/>
          <w:szCs w:val="24"/>
        </w:rPr>
      </w:pPr>
      <w:r>
        <w:rPr>
          <w:rFonts w:ascii="Arial" w:hAnsi="Arial" w:cs="Arial"/>
          <w:szCs w:val="24"/>
        </w:rPr>
        <w:t xml:space="preserve">In Key Stage 4, attainment 8 and progress 8 have </w:t>
      </w:r>
      <w:r w:rsidRPr="00A40FF9">
        <w:rPr>
          <w:rFonts w:ascii="Arial" w:hAnsi="Arial" w:cs="Arial"/>
          <w:szCs w:val="24"/>
        </w:rPr>
        <w:t>improved from last year.</w:t>
      </w:r>
      <w:r w:rsidRPr="00B45030">
        <w:rPr>
          <w:rFonts w:ascii="Arial" w:hAnsi="Arial" w:cs="Arial"/>
          <w:szCs w:val="24"/>
        </w:rPr>
        <w:t xml:space="preserve"> </w:t>
      </w:r>
      <w:r>
        <w:rPr>
          <w:rFonts w:ascii="Arial" w:hAnsi="Arial" w:cs="Arial"/>
          <w:szCs w:val="24"/>
        </w:rPr>
        <w:t xml:space="preserve">This progress is on a positive trajectory. </w:t>
      </w:r>
      <w:r w:rsidRPr="00B45030">
        <w:rPr>
          <w:rFonts w:ascii="Arial" w:hAnsi="Arial" w:cs="Arial"/>
          <w:szCs w:val="24"/>
        </w:rPr>
        <w:t>There are 157 young people in the OC2 cohort, within this cohort, 40 children had an EHCP (25.5</w:t>
      </w:r>
      <w:r>
        <w:rPr>
          <w:rFonts w:ascii="Arial" w:hAnsi="Arial" w:cs="Arial"/>
          <w:szCs w:val="24"/>
        </w:rPr>
        <w:t>%</w:t>
      </w:r>
      <w:proofErr w:type="gramStart"/>
      <w:r w:rsidRPr="00B45030">
        <w:rPr>
          <w:rFonts w:ascii="Arial" w:hAnsi="Arial" w:cs="Arial"/>
          <w:szCs w:val="24"/>
        </w:rPr>
        <w:t>)</w:t>
      </w:r>
      <w:proofErr w:type="gramEnd"/>
      <w:r>
        <w:rPr>
          <w:rFonts w:ascii="Arial" w:hAnsi="Arial" w:cs="Arial"/>
          <w:szCs w:val="24"/>
        </w:rPr>
        <w:t xml:space="preserve"> </w:t>
      </w:r>
      <w:r w:rsidRPr="00B45030">
        <w:rPr>
          <w:rFonts w:ascii="Arial" w:hAnsi="Arial" w:cs="Arial"/>
          <w:szCs w:val="24"/>
        </w:rPr>
        <w:t xml:space="preserve">and 41 children (26.1%) were on SEN support.  This is a combined total of 51.6% of children with SEND. This is 22.8% more than the previous year, so nearly a quarter more of our children have SEND, which will impact on results. Social Emotional Mental Health is the main </w:t>
      </w:r>
      <w:r w:rsidRPr="00B45030">
        <w:rPr>
          <w:rFonts w:ascii="Arial" w:hAnsi="Arial" w:cs="Arial"/>
          <w:szCs w:val="24"/>
        </w:rPr>
        <w:lastRenderedPageBreak/>
        <w:t>designation.</w:t>
      </w:r>
      <w:r>
        <w:rPr>
          <w:rFonts w:ascii="Arial" w:hAnsi="Arial" w:cs="Arial"/>
          <w:szCs w:val="24"/>
        </w:rPr>
        <w:t xml:space="preserve"> This increase in SEND has impacted on the Basics 9-5 measure which is less than national CLA and 2.5% less than last year.</w:t>
      </w:r>
    </w:p>
    <w:p w14:paraId="03F6AFBC" w14:textId="77777777" w:rsidR="00005DEC" w:rsidRPr="00005DEC" w:rsidRDefault="00005DEC" w:rsidP="00005DEC">
      <w:pPr>
        <w:pStyle w:val="ListParagraph"/>
        <w:rPr>
          <w:rFonts w:ascii="Arial" w:hAnsi="Arial" w:cs="Arial"/>
          <w:szCs w:val="24"/>
        </w:rPr>
      </w:pPr>
    </w:p>
    <w:p w14:paraId="7619FBF3" w14:textId="408DC54A" w:rsidR="00B465A3" w:rsidRPr="003B7712" w:rsidRDefault="00005DEC" w:rsidP="003B7712">
      <w:pPr>
        <w:pStyle w:val="ListParagraph"/>
        <w:numPr>
          <w:ilvl w:val="0"/>
          <w:numId w:val="23"/>
        </w:numPr>
        <w:spacing w:line="276" w:lineRule="auto"/>
        <w:rPr>
          <w:rFonts w:ascii="Arial" w:hAnsi="Arial" w:cs="Arial"/>
          <w:szCs w:val="24"/>
        </w:rPr>
      </w:pPr>
      <w:r w:rsidRPr="00B45030">
        <w:rPr>
          <w:rFonts w:ascii="Arial" w:hAnsi="Arial" w:cs="Arial"/>
          <w:szCs w:val="24"/>
        </w:rPr>
        <w:t xml:space="preserve">Within this cohort </w:t>
      </w:r>
      <w:r>
        <w:rPr>
          <w:rFonts w:ascii="Arial" w:hAnsi="Arial" w:cs="Arial"/>
          <w:szCs w:val="24"/>
        </w:rPr>
        <w:t>eleven</w:t>
      </w:r>
      <w:r w:rsidRPr="00B45030">
        <w:rPr>
          <w:rFonts w:ascii="Arial" w:hAnsi="Arial" w:cs="Arial"/>
          <w:szCs w:val="24"/>
        </w:rPr>
        <w:t xml:space="preserve"> young people (7%) are Unaccompanied Asylum Seekers. Virtual School work very closely with our Refugee Teams to ensure young people have education provision</w:t>
      </w:r>
      <w:r>
        <w:rPr>
          <w:rFonts w:ascii="Arial" w:hAnsi="Arial" w:cs="Arial"/>
          <w:szCs w:val="24"/>
        </w:rPr>
        <w:t>.</w:t>
      </w:r>
    </w:p>
    <w:p w14:paraId="79EE80FD" w14:textId="77777777" w:rsidR="00485EE4" w:rsidRDefault="00485EE4" w:rsidP="009C50CC">
      <w:pPr>
        <w:pStyle w:val="Heading3"/>
        <w:numPr>
          <w:ilvl w:val="0"/>
          <w:numId w:val="0"/>
        </w:numPr>
        <w:spacing w:before="0"/>
        <w:rPr>
          <w:rFonts w:ascii="Arial" w:hAnsi="Arial" w:cs="Arial"/>
          <w:b/>
          <w:bCs/>
        </w:rPr>
      </w:pPr>
    </w:p>
    <w:p w14:paraId="75AEB009" w14:textId="6B857536" w:rsidR="0038548B" w:rsidRDefault="0038548B" w:rsidP="009C50CC">
      <w:pPr>
        <w:pStyle w:val="Heading3"/>
        <w:numPr>
          <w:ilvl w:val="0"/>
          <w:numId w:val="0"/>
        </w:numPr>
        <w:spacing w:before="0"/>
        <w:rPr>
          <w:rFonts w:ascii="Arial" w:hAnsi="Arial" w:cs="Arial"/>
          <w:b/>
          <w:bCs/>
        </w:rPr>
      </w:pPr>
      <w:r w:rsidRPr="009C50CC">
        <w:rPr>
          <w:rFonts w:ascii="Arial" w:hAnsi="Arial" w:cs="Arial"/>
          <w:b/>
          <w:bCs/>
        </w:rPr>
        <w:t>Conclusions</w:t>
      </w:r>
      <w:r w:rsidR="00780684" w:rsidRPr="009C50CC">
        <w:rPr>
          <w:rFonts w:ascii="Arial" w:hAnsi="Arial" w:cs="Arial"/>
          <w:b/>
          <w:bCs/>
        </w:rPr>
        <w:t xml:space="preserve"> and recommendations</w:t>
      </w:r>
    </w:p>
    <w:p w14:paraId="2C7E78C6" w14:textId="77777777" w:rsidR="00A261E7" w:rsidRPr="009C50CC" w:rsidRDefault="00A261E7" w:rsidP="009C50CC">
      <w:pPr>
        <w:pStyle w:val="Heading3"/>
        <w:numPr>
          <w:ilvl w:val="0"/>
          <w:numId w:val="0"/>
        </w:numPr>
        <w:spacing w:before="0"/>
        <w:rPr>
          <w:rFonts w:ascii="Arial" w:hAnsi="Arial" w:cs="Arial"/>
          <w:b/>
          <w:bCs/>
        </w:rPr>
      </w:pPr>
    </w:p>
    <w:p w14:paraId="4298C72A" w14:textId="77777777" w:rsidR="006D64F9" w:rsidRPr="00A419BC" w:rsidRDefault="006D64F9" w:rsidP="006D64F9">
      <w:pPr>
        <w:pStyle w:val="ListParagraph"/>
        <w:numPr>
          <w:ilvl w:val="0"/>
          <w:numId w:val="23"/>
        </w:numPr>
        <w:suppressAutoHyphens/>
        <w:autoSpaceDN w:val="0"/>
        <w:spacing w:line="276" w:lineRule="auto"/>
        <w:ind w:right="-199"/>
        <w:textAlignment w:val="baseline"/>
        <w:rPr>
          <w:rFonts w:ascii="Arial" w:hAnsi="Arial" w:cs="Arial"/>
          <w:b/>
          <w:kern w:val="3"/>
          <w:szCs w:val="24"/>
        </w:rPr>
      </w:pPr>
      <w:r w:rsidRPr="00A419BC">
        <w:rPr>
          <w:rFonts w:ascii="Arial" w:hAnsi="Arial" w:cs="Arial"/>
          <w:bCs/>
          <w:kern w:val="3"/>
          <w:szCs w:val="24"/>
        </w:rPr>
        <w:t>This report sets out how the effective use of the pupil premium plus supports the local authority, carers, and schools to promote the educational needs of children in care.</w:t>
      </w:r>
    </w:p>
    <w:p w14:paraId="1E9DE77C" w14:textId="77777777" w:rsidR="00A261E7" w:rsidRDefault="00A261E7" w:rsidP="00A261E7">
      <w:pPr>
        <w:pStyle w:val="Heading3"/>
        <w:numPr>
          <w:ilvl w:val="0"/>
          <w:numId w:val="0"/>
        </w:numPr>
        <w:spacing w:before="0"/>
        <w:rPr>
          <w:rFonts w:ascii="Arial" w:hAnsi="Arial" w:cs="Arial"/>
        </w:rPr>
      </w:pPr>
    </w:p>
    <w:p w14:paraId="3DB85AE9" w14:textId="77777777" w:rsidR="006D64F9" w:rsidRPr="00A419BC" w:rsidRDefault="006D64F9" w:rsidP="006D64F9">
      <w:pPr>
        <w:pStyle w:val="ListParagraph"/>
        <w:numPr>
          <w:ilvl w:val="0"/>
          <w:numId w:val="23"/>
        </w:numPr>
        <w:suppressAutoHyphens/>
        <w:autoSpaceDN w:val="0"/>
        <w:spacing w:line="276" w:lineRule="auto"/>
        <w:ind w:right="-199"/>
        <w:textAlignment w:val="baseline"/>
        <w:rPr>
          <w:rFonts w:ascii="Arial" w:hAnsi="Arial" w:cs="Arial"/>
          <w:b/>
          <w:kern w:val="3"/>
          <w:szCs w:val="24"/>
        </w:rPr>
      </w:pPr>
      <w:r w:rsidRPr="00A419BC">
        <w:rPr>
          <w:rFonts w:ascii="Arial" w:hAnsi="Arial" w:cs="Arial"/>
          <w:bCs/>
          <w:kern w:val="3"/>
          <w:szCs w:val="24"/>
        </w:rPr>
        <w:t>Virtual School recommend that the Schools</w:t>
      </w:r>
      <w:r>
        <w:rPr>
          <w:rFonts w:ascii="Arial" w:hAnsi="Arial" w:cs="Arial"/>
          <w:bCs/>
          <w:kern w:val="3"/>
          <w:szCs w:val="24"/>
        </w:rPr>
        <w:t>’</w:t>
      </w:r>
      <w:r w:rsidRPr="00A419BC">
        <w:rPr>
          <w:rFonts w:ascii="Arial" w:hAnsi="Arial" w:cs="Arial"/>
          <w:bCs/>
          <w:kern w:val="3"/>
          <w:szCs w:val="24"/>
        </w:rPr>
        <w:t xml:space="preserve"> Forum notes the content of this report. </w:t>
      </w:r>
    </w:p>
    <w:p w14:paraId="2B03C2DE" w14:textId="77777777" w:rsidR="0005425B" w:rsidRPr="0005425B" w:rsidRDefault="0005425B">
      <w:pPr>
        <w:pStyle w:val="Heading2"/>
        <w:numPr>
          <w:ilvl w:val="0"/>
          <w:numId w:val="0"/>
        </w:numPr>
        <w:spacing w:before="0" w:after="0"/>
        <w:ind w:left="720" w:hanging="153"/>
        <w:rPr>
          <w:rFonts w:ascii="Arial" w:hAnsi="Arial" w:cs="Arial"/>
          <w:i/>
          <w:iCs/>
        </w:rPr>
      </w:pPr>
    </w:p>
    <w:sectPr w:rsidR="0005425B" w:rsidRPr="0005425B" w:rsidSect="00A261E7">
      <w:headerReference w:type="default" r:id="rId19"/>
      <w:type w:val="continuous"/>
      <w:pgSz w:w="11906" w:h="16838"/>
      <w:pgMar w:top="1440" w:right="1800" w:bottom="1440" w:left="180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2199" w14:textId="77777777" w:rsidR="008A5F40" w:rsidRDefault="008A5F40">
      <w:r>
        <w:separator/>
      </w:r>
    </w:p>
  </w:endnote>
  <w:endnote w:type="continuationSeparator" w:id="0">
    <w:p w14:paraId="33BFA2B0" w14:textId="77777777" w:rsidR="008A5F40" w:rsidRDefault="008A5F40">
      <w:r>
        <w:continuationSeparator/>
      </w:r>
    </w:p>
  </w:endnote>
  <w:endnote w:type="continuationNotice" w:id="1">
    <w:p w14:paraId="450789EE" w14:textId="77777777" w:rsidR="008A5F40" w:rsidRDefault="008A5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E55D" w14:textId="77777777" w:rsidR="00DC6A8C" w:rsidRDefault="00DC6A8C" w:rsidP="00C22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DCE58" w14:textId="77777777" w:rsidR="00DC6A8C" w:rsidRDefault="00DC6A8C" w:rsidP="00DC6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0D81" w14:textId="77777777" w:rsidR="00FD041F" w:rsidRDefault="00FD041F" w:rsidP="004B35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DEC9" w14:textId="77777777" w:rsidR="008A5F40" w:rsidRDefault="008A5F40">
      <w:r>
        <w:separator/>
      </w:r>
    </w:p>
  </w:footnote>
  <w:footnote w:type="continuationSeparator" w:id="0">
    <w:p w14:paraId="3CED9324" w14:textId="77777777" w:rsidR="008A5F40" w:rsidRDefault="008A5F40">
      <w:r>
        <w:continuationSeparator/>
      </w:r>
    </w:p>
  </w:footnote>
  <w:footnote w:type="continuationNotice" w:id="1">
    <w:p w14:paraId="111F2282" w14:textId="77777777" w:rsidR="008A5F40" w:rsidRDefault="008A5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30C6" w14:textId="77777777" w:rsidR="00A261E7" w:rsidRDefault="00A261E7">
    <w:pPr>
      <w:pStyle w:val="Header"/>
    </w:pPr>
    <w:r>
      <w:rPr>
        <w:noProof/>
        <w:lang w:eastAsia="en-GB"/>
      </w:rPr>
      <w:drawing>
        <wp:anchor distT="0" distB="0" distL="114300" distR="114300" simplePos="0" relativeHeight="251658240" behindDoc="0" locked="0" layoutInCell="1" allowOverlap="1" wp14:anchorId="523F152A" wp14:editId="591BBDEE">
          <wp:simplePos x="0" y="0"/>
          <wp:positionH relativeFrom="column">
            <wp:posOffset>3731114</wp:posOffset>
          </wp:positionH>
          <wp:positionV relativeFrom="paragraph">
            <wp:posOffset>-182880</wp:posOffset>
          </wp:positionV>
          <wp:extent cx="2295525" cy="600075"/>
          <wp:effectExtent l="0" t="0" r="9525" b="9525"/>
          <wp:wrapNone/>
          <wp:docPr id="1" name="Picture 1" descr="F:\Holding Folder\csdmt\HCClogo GIF colour on white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olding Folder\csdmt\HCClogo GIF colour on white background.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00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8341" w14:textId="77777777" w:rsidR="00A261E7" w:rsidRDefault="00A2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B00"/>
    <w:multiLevelType w:val="hybridMultilevel"/>
    <w:tmpl w:val="E30E4C2A"/>
    <w:lvl w:ilvl="0" w:tplc="FFFFFFFF">
      <w:start w:val="1"/>
      <w:numFmt w:val="decimal"/>
      <w:lvlText w:val="%1."/>
      <w:lvlJc w:val="left"/>
      <w:pPr>
        <w:ind w:left="644"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6534CDC"/>
    <w:multiLevelType w:val="hybridMultilevel"/>
    <w:tmpl w:val="90DCF1C8"/>
    <w:lvl w:ilvl="0" w:tplc="3460BC68">
      <w:start w:val="1"/>
      <w:numFmt w:val="bullet"/>
      <w:lvlText w:val="•"/>
      <w:lvlJc w:val="left"/>
      <w:pPr>
        <w:tabs>
          <w:tab w:val="num" w:pos="720"/>
        </w:tabs>
        <w:ind w:left="720" w:hanging="360"/>
      </w:pPr>
      <w:rPr>
        <w:rFonts w:ascii="Arial" w:hAnsi="Arial" w:hint="default"/>
      </w:rPr>
    </w:lvl>
    <w:lvl w:ilvl="1" w:tplc="71A075D8" w:tentative="1">
      <w:start w:val="1"/>
      <w:numFmt w:val="bullet"/>
      <w:lvlText w:val="•"/>
      <w:lvlJc w:val="left"/>
      <w:pPr>
        <w:tabs>
          <w:tab w:val="num" w:pos="1440"/>
        </w:tabs>
        <w:ind w:left="1440" w:hanging="360"/>
      </w:pPr>
      <w:rPr>
        <w:rFonts w:ascii="Arial" w:hAnsi="Arial" w:hint="default"/>
      </w:rPr>
    </w:lvl>
    <w:lvl w:ilvl="2" w:tplc="5EE86758" w:tentative="1">
      <w:start w:val="1"/>
      <w:numFmt w:val="bullet"/>
      <w:lvlText w:val="•"/>
      <w:lvlJc w:val="left"/>
      <w:pPr>
        <w:tabs>
          <w:tab w:val="num" w:pos="2160"/>
        </w:tabs>
        <w:ind w:left="2160" w:hanging="360"/>
      </w:pPr>
      <w:rPr>
        <w:rFonts w:ascii="Arial" w:hAnsi="Arial" w:hint="default"/>
      </w:rPr>
    </w:lvl>
    <w:lvl w:ilvl="3" w:tplc="1BC001E4" w:tentative="1">
      <w:start w:val="1"/>
      <w:numFmt w:val="bullet"/>
      <w:lvlText w:val="•"/>
      <w:lvlJc w:val="left"/>
      <w:pPr>
        <w:tabs>
          <w:tab w:val="num" w:pos="2880"/>
        </w:tabs>
        <w:ind w:left="2880" w:hanging="360"/>
      </w:pPr>
      <w:rPr>
        <w:rFonts w:ascii="Arial" w:hAnsi="Arial" w:hint="default"/>
      </w:rPr>
    </w:lvl>
    <w:lvl w:ilvl="4" w:tplc="CE12272E" w:tentative="1">
      <w:start w:val="1"/>
      <w:numFmt w:val="bullet"/>
      <w:lvlText w:val="•"/>
      <w:lvlJc w:val="left"/>
      <w:pPr>
        <w:tabs>
          <w:tab w:val="num" w:pos="3600"/>
        </w:tabs>
        <w:ind w:left="3600" w:hanging="360"/>
      </w:pPr>
      <w:rPr>
        <w:rFonts w:ascii="Arial" w:hAnsi="Arial" w:hint="default"/>
      </w:rPr>
    </w:lvl>
    <w:lvl w:ilvl="5" w:tplc="7DCC9926" w:tentative="1">
      <w:start w:val="1"/>
      <w:numFmt w:val="bullet"/>
      <w:lvlText w:val="•"/>
      <w:lvlJc w:val="left"/>
      <w:pPr>
        <w:tabs>
          <w:tab w:val="num" w:pos="4320"/>
        </w:tabs>
        <w:ind w:left="4320" w:hanging="360"/>
      </w:pPr>
      <w:rPr>
        <w:rFonts w:ascii="Arial" w:hAnsi="Arial" w:hint="default"/>
      </w:rPr>
    </w:lvl>
    <w:lvl w:ilvl="6" w:tplc="B9AEDC96" w:tentative="1">
      <w:start w:val="1"/>
      <w:numFmt w:val="bullet"/>
      <w:lvlText w:val="•"/>
      <w:lvlJc w:val="left"/>
      <w:pPr>
        <w:tabs>
          <w:tab w:val="num" w:pos="5040"/>
        </w:tabs>
        <w:ind w:left="5040" w:hanging="360"/>
      </w:pPr>
      <w:rPr>
        <w:rFonts w:ascii="Arial" w:hAnsi="Arial" w:hint="default"/>
      </w:rPr>
    </w:lvl>
    <w:lvl w:ilvl="7" w:tplc="20E421A2" w:tentative="1">
      <w:start w:val="1"/>
      <w:numFmt w:val="bullet"/>
      <w:lvlText w:val="•"/>
      <w:lvlJc w:val="left"/>
      <w:pPr>
        <w:tabs>
          <w:tab w:val="num" w:pos="5760"/>
        </w:tabs>
        <w:ind w:left="5760" w:hanging="360"/>
      </w:pPr>
      <w:rPr>
        <w:rFonts w:ascii="Arial" w:hAnsi="Arial" w:hint="default"/>
      </w:rPr>
    </w:lvl>
    <w:lvl w:ilvl="8" w:tplc="968CF8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574C5"/>
    <w:multiLevelType w:val="hybridMultilevel"/>
    <w:tmpl w:val="E30E4C2A"/>
    <w:lvl w:ilvl="0" w:tplc="FFFFFFFF">
      <w:start w:val="1"/>
      <w:numFmt w:val="decimal"/>
      <w:lvlText w:val="%1."/>
      <w:lvlJc w:val="left"/>
      <w:pPr>
        <w:ind w:left="644"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E5FA0"/>
    <w:multiLevelType w:val="hybridMultilevel"/>
    <w:tmpl w:val="B0CCF2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5B61AFA"/>
    <w:multiLevelType w:val="hybridMultilevel"/>
    <w:tmpl w:val="4A2C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5590F"/>
    <w:multiLevelType w:val="multilevel"/>
    <w:tmpl w:val="BB4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B48E9"/>
    <w:multiLevelType w:val="hybridMultilevel"/>
    <w:tmpl w:val="E30E4C2A"/>
    <w:lvl w:ilvl="0" w:tplc="5BA2CE94">
      <w:start w:val="1"/>
      <w:numFmt w:val="decimal"/>
      <w:lvlText w:val="%1."/>
      <w:lvlJc w:val="left"/>
      <w:pPr>
        <w:ind w:left="644" w:hanging="360"/>
      </w:pPr>
      <w:rPr>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614D2"/>
    <w:multiLevelType w:val="multilevel"/>
    <w:tmpl w:val="BC2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87E32"/>
    <w:multiLevelType w:val="hybridMultilevel"/>
    <w:tmpl w:val="303CF62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790EE9"/>
    <w:multiLevelType w:val="singleLevel"/>
    <w:tmpl w:val="4A564CB8"/>
    <w:lvl w:ilvl="0">
      <w:start w:val="1"/>
      <w:numFmt w:val="decimal"/>
      <w:pStyle w:val="Recpoint"/>
      <w:lvlText w:val="%1"/>
      <w:lvlJc w:val="left"/>
      <w:pPr>
        <w:tabs>
          <w:tab w:val="num" w:pos="720"/>
        </w:tabs>
        <w:ind w:left="720" w:hanging="720"/>
      </w:pPr>
      <w:rPr>
        <w:rFonts w:ascii="Times New Roman" w:hAnsi="Times New Roman" w:hint="default"/>
        <w:b w:val="0"/>
        <w:i w:val="0"/>
        <w:sz w:val="24"/>
      </w:rPr>
    </w:lvl>
  </w:abstractNum>
  <w:abstractNum w:abstractNumId="11" w15:restartNumberingAfterBreak="0">
    <w:nsid w:val="33EE68EC"/>
    <w:multiLevelType w:val="singleLevel"/>
    <w:tmpl w:val="6440706C"/>
    <w:lvl w:ilvl="0">
      <w:start w:val="1"/>
      <w:numFmt w:val="lowerRoman"/>
      <w:pStyle w:val="romannolist"/>
      <w:lvlText w:val="%1)"/>
      <w:lvlJc w:val="left"/>
      <w:pPr>
        <w:tabs>
          <w:tab w:val="num" w:pos="1440"/>
        </w:tabs>
        <w:ind w:left="1440" w:hanging="720"/>
      </w:pPr>
      <w:rPr>
        <w:rFonts w:ascii="Times New Roman" w:hAnsi="Times New Roman" w:hint="default"/>
        <w:sz w:val="24"/>
      </w:rPr>
    </w:lvl>
  </w:abstractNum>
  <w:abstractNum w:abstractNumId="12" w15:restartNumberingAfterBreak="0">
    <w:nsid w:val="3BCD76C8"/>
    <w:multiLevelType w:val="hybridMultilevel"/>
    <w:tmpl w:val="61F6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17510"/>
    <w:multiLevelType w:val="hybridMultilevel"/>
    <w:tmpl w:val="DB2EE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A3D1B15"/>
    <w:multiLevelType w:val="multilevel"/>
    <w:tmpl w:val="A8240D2C"/>
    <w:lvl w:ilvl="0">
      <w:start w:val="1"/>
      <w:numFmt w:val="decimal"/>
      <w:pStyle w:val="Heading1"/>
      <w:lvlText w:val="%1"/>
      <w:lvlJc w:val="left"/>
      <w:pPr>
        <w:tabs>
          <w:tab w:val="num" w:pos="720"/>
        </w:tabs>
        <w:ind w:left="720" w:hanging="720"/>
      </w:pPr>
      <w:rPr>
        <w:rFonts w:ascii="Arial" w:hAnsi="Arial" w:cs="Arial" w:hint="default"/>
        <w:b/>
        <w:i w:val="0"/>
        <w:sz w:val="24"/>
      </w:rPr>
    </w:lvl>
    <w:lvl w:ilvl="1">
      <w:start w:val="1"/>
      <w:numFmt w:val="decimal"/>
      <w:pStyle w:val="Heading2"/>
      <w:lvlText w:val="%1.%2"/>
      <w:lvlJc w:val="left"/>
      <w:pPr>
        <w:tabs>
          <w:tab w:val="num" w:pos="720"/>
        </w:tabs>
        <w:ind w:left="720" w:hanging="720"/>
      </w:pPr>
      <w:rPr>
        <w:rFonts w:ascii="Arial" w:hAnsi="Arial" w:cs="Arial"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E565693"/>
    <w:multiLevelType w:val="hybridMultilevel"/>
    <w:tmpl w:val="0EE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171BA"/>
    <w:multiLevelType w:val="hybridMultilevel"/>
    <w:tmpl w:val="5F8E25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4962656"/>
    <w:multiLevelType w:val="hybridMultilevel"/>
    <w:tmpl w:val="F00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33DF9"/>
    <w:multiLevelType w:val="hybridMultilevel"/>
    <w:tmpl w:val="788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A6791"/>
    <w:multiLevelType w:val="singleLevel"/>
    <w:tmpl w:val="79F41330"/>
    <w:lvl w:ilvl="0">
      <w:start w:val="1"/>
      <w:numFmt w:val="bullet"/>
      <w:pStyle w:val="Bullets"/>
      <w:lvlText w:val=""/>
      <w:lvlJc w:val="left"/>
      <w:pPr>
        <w:tabs>
          <w:tab w:val="num" w:pos="1440"/>
        </w:tabs>
        <w:ind w:left="1440" w:hanging="720"/>
      </w:pPr>
      <w:rPr>
        <w:rFonts w:ascii="Symbol" w:hAnsi="Symbol" w:hint="default"/>
        <w:sz w:val="20"/>
      </w:rPr>
    </w:lvl>
  </w:abstractNum>
  <w:abstractNum w:abstractNumId="20" w15:restartNumberingAfterBreak="0">
    <w:nsid w:val="792C699F"/>
    <w:multiLevelType w:val="multilevel"/>
    <w:tmpl w:val="96E8D202"/>
    <w:lvl w:ilvl="0">
      <w:start w:val="1"/>
      <w:numFmt w:val="decimal"/>
      <w:lvlText w:val="%1."/>
      <w:lvlJc w:val="left"/>
      <w:pPr>
        <w:ind w:left="567" w:hanging="567"/>
      </w:pPr>
      <w:rPr>
        <w:rFonts w:ascii="Arial"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8699525">
    <w:abstractNumId w:val="19"/>
  </w:num>
  <w:num w:numId="2" w16cid:durableId="255409103">
    <w:abstractNumId w:val="14"/>
  </w:num>
  <w:num w:numId="3" w16cid:durableId="379481792">
    <w:abstractNumId w:val="10"/>
  </w:num>
  <w:num w:numId="4" w16cid:durableId="693963130">
    <w:abstractNumId w:val="11"/>
  </w:num>
  <w:num w:numId="5" w16cid:durableId="1326737356">
    <w:abstractNumId w:val="1"/>
  </w:num>
  <w:num w:numId="6" w16cid:durableId="517888525">
    <w:abstractNumId w:val="5"/>
  </w:num>
  <w:num w:numId="7" w16cid:durableId="120731882">
    <w:abstractNumId w:val="8"/>
  </w:num>
  <w:num w:numId="8" w16cid:durableId="2020623660">
    <w:abstractNumId w:val="6"/>
  </w:num>
  <w:num w:numId="9" w16cid:durableId="1202012947">
    <w:abstractNumId w:val="15"/>
  </w:num>
  <w:num w:numId="10" w16cid:durableId="1192692476">
    <w:abstractNumId w:val="14"/>
  </w:num>
  <w:num w:numId="11" w16cid:durableId="389116182">
    <w:abstractNumId w:val="12"/>
  </w:num>
  <w:num w:numId="12" w16cid:durableId="440228901">
    <w:abstractNumId w:val="14"/>
  </w:num>
  <w:num w:numId="13" w16cid:durableId="1767850252">
    <w:abstractNumId w:val="17"/>
  </w:num>
  <w:num w:numId="14" w16cid:durableId="951744384">
    <w:abstractNumId w:val="18"/>
  </w:num>
  <w:num w:numId="15" w16cid:durableId="1727952207">
    <w:abstractNumId w:val="16"/>
  </w:num>
  <w:num w:numId="16" w16cid:durableId="1649675634">
    <w:abstractNumId w:val="4"/>
  </w:num>
  <w:num w:numId="17" w16cid:durableId="950697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6884731">
    <w:abstractNumId w:val="13"/>
  </w:num>
  <w:num w:numId="19" w16cid:durableId="93210001">
    <w:abstractNumId w:val="9"/>
  </w:num>
  <w:num w:numId="20" w16cid:durableId="1215198073">
    <w:abstractNumId w:val="14"/>
  </w:num>
  <w:num w:numId="21" w16cid:durableId="431170435">
    <w:abstractNumId w:val="14"/>
  </w:num>
  <w:num w:numId="22" w16cid:durableId="618142632">
    <w:abstractNumId w:val="14"/>
  </w:num>
  <w:num w:numId="23" w16cid:durableId="1141583094">
    <w:abstractNumId w:val="20"/>
  </w:num>
  <w:num w:numId="24" w16cid:durableId="1933662120">
    <w:abstractNumId w:val="7"/>
  </w:num>
  <w:num w:numId="25" w16cid:durableId="1582178844">
    <w:abstractNumId w:val="2"/>
  </w:num>
  <w:num w:numId="26" w16cid:durableId="181210886">
    <w:abstractNumId w:val="3"/>
  </w:num>
  <w:num w:numId="27" w16cid:durableId="9672752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15"/>
    <w:rsid w:val="00001892"/>
    <w:rsid w:val="00001A37"/>
    <w:rsid w:val="000026F7"/>
    <w:rsid w:val="00004163"/>
    <w:rsid w:val="00005DEC"/>
    <w:rsid w:val="000065F5"/>
    <w:rsid w:val="00013BDA"/>
    <w:rsid w:val="00013C6B"/>
    <w:rsid w:val="00014583"/>
    <w:rsid w:val="00023EC7"/>
    <w:rsid w:val="000242A8"/>
    <w:rsid w:val="000244A9"/>
    <w:rsid w:val="00034CB2"/>
    <w:rsid w:val="00042733"/>
    <w:rsid w:val="0004300D"/>
    <w:rsid w:val="00047E9C"/>
    <w:rsid w:val="00050058"/>
    <w:rsid w:val="000523E0"/>
    <w:rsid w:val="0005425B"/>
    <w:rsid w:val="00066DD8"/>
    <w:rsid w:val="00067429"/>
    <w:rsid w:val="0007305F"/>
    <w:rsid w:val="00084087"/>
    <w:rsid w:val="00091ABB"/>
    <w:rsid w:val="00094EE5"/>
    <w:rsid w:val="000A1FF8"/>
    <w:rsid w:val="000A73BF"/>
    <w:rsid w:val="000A7A3A"/>
    <w:rsid w:val="000B0776"/>
    <w:rsid w:val="000C3E4B"/>
    <w:rsid w:val="000D20E0"/>
    <w:rsid w:val="000E11C7"/>
    <w:rsid w:val="000E2F20"/>
    <w:rsid w:val="000E3247"/>
    <w:rsid w:val="000E43A3"/>
    <w:rsid w:val="000E6EA6"/>
    <w:rsid w:val="00100475"/>
    <w:rsid w:val="00100775"/>
    <w:rsid w:val="00104000"/>
    <w:rsid w:val="0010531A"/>
    <w:rsid w:val="0010716C"/>
    <w:rsid w:val="0011105A"/>
    <w:rsid w:val="00116E0D"/>
    <w:rsid w:val="001207CC"/>
    <w:rsid w:val="001252ED"/>
    <w:rsid w:val="00132013"/>
    <w:rsid w:val="00155351"/>
    <w:rsid w:val="001645F5"/>
    <w:rsid w:val="001704FE"/>
    <w:rsid w:val="001766C4"/>
    <w:rsid w:val="00186399"/>
    <w:rsid w:val="00195607"/>
    <w:rsid w:val="001A437D"/>
    <w:rsid w:val="001C597D"/>
    <w:rsid w:val="001D103D"/>
    <w:rsid w:val="001D3C8A"/>
    <w:rsid w:val="001D49C6"/>
    <w:rsid w:val="001F3CE7"/>
    <w:rsid w:val="0020126F"/>
    <w:rsid w:val="00202644"/>
    <w:rsid w:val="00204365"/>
    <w:rsid w:val="002051AE"/>
    <w:rsid w:val="002148FA"/>
    <w:rsid w:val="00215842"/>
    <w:rsid w:val="00215C83"/>
    <w:rsid w:val="00230E81"/>
    <w:rsid w:val="002351A5"/>
    <w:rsid w:val="002352A0"/>
    <w:rsid w:val="002422C3"/>
    <w:rsid w:val="0024346E"/>
    <w:rsid w:val="0024505E"/>
    <w:rsid w:val="0024614C"/>
    <w:rsid w:val="002523D3"/>
    <w:rsid w:val="00253C62"/>
    <w:rsid w:val="00264E50"/>
    <w:rsid w:val="002714A2"/>
    <w:rsid w:val="00272263"/>
    <w:rsid w:val="00272FD2"/>
    <w:rsid w:val="00280807"/>
    <w:rsid w:val="00286440"/>
    <w:rsid w:val="002952B7"/>
    <w:rsid w:val="002A78A2"/>
    <w:rsid w:val="002B2BC8"/>
    <w:rsid w:val="002B408D"/>
    <w:rsid w:val="002B5032"/>
    <w:rsid w:val="002B7160"/>
    <w:rsid w:val="002C1B1D"/>
    <w:rsid w:val="002C2220"/>
    <w:rsid w:val="002C22D1"/>
    <w:rsid w:val="002C56DF"/>
    <w:rsid w:val="002E306C"/>
    <w:rsid w:val="002E7F11"/>
    <w:rsid w:val="002F46C1"/>
    <w:rsid w:val="003056C1"/>
    <w:rsid w:val="00332812"/>
    <w:rsid w:val="0035204A"/>
    <w:rsid w:val="003611B2"/>
    <w:rsid w:val="00370DC4"/>
    <w:rsid w:val="0038233E"/>
    <w:rsid w:val="0038548B"/>
    <w:rsid w:val="003862BA"/>
    <w:rsid w:val="00391E99"/>
    <w:rsid w:val="00393DF8"/>
    <w:rsid w:val="003A00EC"/>
    <w:rsid w:val="003A6815"/>
    <w:rsid w:val="003B0EDB"/>
    <w:rsid w:val="003B14B5"/>
    <w:rsid w:val="003B55D4"/>
    <w:rsid w:val="003B70CE"/>
    <w:rsid w:val="003B7712"/>
    <w:rsid w:val="003C4982"/>
    <w:rsid w:val="003C6D66"/>
    <w:rsid w:val="003D6A9B"/>
    <w:rsid w:val="003E037F"/>
    <w:rsid w:val="003F0BBB"/>
    <w:rsid w:val="00400F16"/>
    <w:rsid w:val="00402AA8"/>
    <w:rsid w:val="00406053"/>
    <w:rsid w:val="0041185F"/>
    <w:rsid w:val="00412633"/>
    <w:rsid w:val="00423B64"/>
    <w:rsid w:val="00432C83"/>
    <w:rsid w:val="00437AE1"/>
    <w:rsid w:val="00437C72"/>
    <w:rsid w:val="004411DC"/>
    <w:rsid w:val="00442694"/>
    <w:rsid w:val="00444F26"/>
    <w:rsid w:val="00453348"/>
    <w:rsid w:val="00465B59"/>
    <w:rsid w:val="00466BD0"/>
    <w:rsid w:val="00475372"/>
    <w:rsid w:val="004760D4"/>
    <w:rsid w:val="00482D4A"/>
    <w:rsid w:val="00485EE4"/>
    <w:rsid w:val="004A195E"/>
    <w:rsid w:val="004A200D"/>
    <w:rsid w:val="004A2967"/>
    <w:rsid w:val="004A3171"/>
    <w:rsid w:val="004A54B4"/>
    <w:rsid w:val="004B054C"/>
    <w:rsid w:val="004B3518"/>
    <w:rsid w:val="004B35BC"/>
    <w:rsid w:val="004C0D8B"/>
    <w:rsid w:val="004C5A5C"/>
    <w:rsid w:val="004C60B2"/>
    <w:rsid w:val="004D16BA"/>
    <w:rsid w:val="004D3CFF"/>
    <w:rsid w:val="004D7C08"/>
    <w:rsid w:val="004E3E8B"/>
    <w:rsid w:val="004F6140"/>
    <w:rsid w:val="00505571"/>
    <w:rsid w:val="00520008"/>
    <w:rsid w:val="00526D3F"/>
    <w:rsid w:val="005334E7"/>
    <w:rsid w:val="0054382E"/>
    <w:rsid w:val="00551781"/>
    <w:rsid w:val="005601B8"/>
    <w:rsid w:val="0056710C"/>
    <w:rsid w:val="0057459C"/>
    <w:rsid w:val="005841A3"/>
    <w:rsid w:val="00592887"/>
    <w:rsid w:val="005936DD"/>
    <w:rsid w:val="005978FB"/>
    <w:rsid w:val="005A2457"/>
    <w:rsid w:val="005B6A51"/>
    <w:rsid w:val="005B7192"/>
    <w:rsid w:val="005C20C0"/>
    <w:rsid w:val="005C43FD"/>
    <w:rsid w:val="005E24E5"/>
    <w:rsid w:val="005E4EB4"/>
    <w:rsid w:val="00602282"/>
    <w:rsid w:val="006043DA"/>
    <w:rsid w:val="00610D15"/>
    <w:rsid w:val="00612D0D"/>
    <w:rsid w:val="0061741B"/>
    <w:rsid w:val="00620771"/>
    <w:rsid w:val="00620A67"/>
    <w:rsid w:val="00624E52"/>
    <w:rsid w:val="00630BC6"/>
    <w:rsid w:val="00661418"/>
    <w:rsid w:val="006655D2"/>
    <w:rsid w:val="006711E0"/>
    <w:rsid w:val="0067707A"/>
    <w:rsid w:val="006931AE"/>
    <w:rsid w:val="006968EA"/>
    <w:rsid w:val="006A2776"/>
    <w:rsid w:val="006A3D9E"/>
    <w:rsid w:val="006B22D5"/>
    <w:rsid w:val="006B5B7C"/>
    <w:rsid w:val="006D0B22"/>
    <w:rsid w:val="006D3889"/>
    <w:rsid w:val="006D5618"/>
    <w:rsid w:val="006D602A"/>
    <w:rsid w:val="006D64F9"/>
    <w:rsid w:val="006E33D2"/>
    <w:rsid w:val="006F57EA"/>
    <w:rsid w:val="00701A10"/>
    <w:rsid w:val="00704715"/>
    <w:rsid w:val="00712A09"/>
    <w:rsid w:val="00712A0F"/>
    <w:rsid w:val="0072045D"/>
    <w:rsid w:val="00726F55"/>
    <w:rsid w:val="00730730"/>
    <w:rsid w:val="00737013"/>
    <w:rsid w:val="00743AFC"/>
    <w:rsid w:val="0075111C"/>
    <w:rsid w:val="00751B24"/>
    <w:rsid w:val="00753B31"/>
    <w:rsid w:val="00761334"/>
    <w:rsid w:val="00761EF1"/>
    <w:rsid w:val="00765E71"/>
    <w:rsid w:val="007675B7"/>
    <w:rsid w:val="00780684"/>
    <w:rsid w:val="00783CCE"/>
    <w:rsid w:val="00792A19"/>
    <w:rsid w:val="007A529F"/>
    <w:rsid w:val="007B06EC"/>
    <w:rsid w:val="007B0FBA"/>
    <w:rsid w:val="007C622F"/>
    <w:rsid w:val="007E502A"/>
    <w:rsid w:val="007E58F2"/>
    <w:rsid w:val="007F1FFC"/>
    <w:rsid w:val="007F365C"/>
    <w:rsid w:val="008020E6"/>
    <w:rsid w:val="0080777C"/>
    <w:rsid w:val="00824441"/>
    <w:rsid w:val="008268C2"/>
    <w:rsid w:val="008300A4"/>
    <w:rsid w:val="00834753"/>
    <w:rsid w:val="00836533"/>
    <w:rsid w:val="0084548B"/>
    <w:rsid w:val="008522F3"/>
    <w:rsid w:val="00871CE3"/>
    <w:rsid w:val="008743EB"/>
    <w:rsid w:val="00874E18"/>
    <w:rsid w:val="0087619A"/>
    <w:rsid w:val="0088477C"/>
    <w:rsid w:val="00884F2A"/>
    <w:rsid w:val="00886447"/>
    <w:rsid w:val="00887FE4"/>
    <w:rsid w:val="00890EAF"/>
    <w:rsid w:val="00896130"/>
    <w:rsid w:val="00897BD9"/>
    <w:rsid w:val="008A152C"/>
    <w:rsid w:val="008A3C51"/>
    <w:rsid w:val="008A5F40"/>
    <w:rsid w:val="008B3A63"/>
    <w:rsid w:val="008D0D99"/>
    <w:rsid w:val="008D18C6"/>
    <w:rsid w:val="008D1BAD"/>
    <w:rsid w:val="008D2867"/>
    <w:rsid w:val="008F7B6E"/>
    <w:rsid w:val="00903595"/>
    <w:rsid w:val="0091479C"/>
    <w:rsid w:val="00916FA5"/>
    <w:rsid w:val="00921BDE"/>
    <w:rsid w:val="009268DC"/>
    <w:rsid w:val="00932247"/>
    <w:rsid w:val="0093396F"/>
    <w:rsid w:val="00935891"/>
    <w:rsid w:val="00943E6E"/>
    <w:rsid w:val="00945FC2"/>
    <w:rsid w:val="009472CB"/>
    <w:rsid w:val="00951FD1"/>
    <w:rsid w:val="009520FF"/>
    <w:rsid w:val="00956193"/>
    <w:rsid w:val="009639A8"/>
    <w:rsid w:val="00966E30"/>
    <w:rsid w:val="00970AA6"/>
    <w:rsid w:val="0099053B"/>
    <w:rsid w:val="00992F2A"/>
    <w:rsid w:val="0099547F"/>
    <w:rsid w:val="009A0650"/>
    <w:rsid w:val="009A5252"/>
    <w:rsid w:val="009B1C5C"/>
    <w:rsid w:val="009B6E27"/>
    <w:rsid w:val="009C45F2"/>
    <w:rsid w:val="009C50CC"/>
    <w:rsid w:val="009D1ADF"/>
    <w:rsid w:val="009D392F"/>
    <w:rsid w:val="009F57C3"/>
    <w:rsid w:val="00A013B0"/>
    <w:rsid w:val="00A04F14"/>
    <w:rsid w:val="00A051E4"/>
    <w:rsid w:val="00A07082"/>
    <w:rsid w:val="00A2412E"/>
    <w:rsid w:val="00A261E7"/>
    <w:rsid w:val="00A36DD2"/>
    <w:rsid w:val="00A40DC2"/>
    <w:rsid w:val="00A40E3F"/>
    <w:rsid w:val="00A42A1C"/>
    <w:rsid w:val="00A42E17"/>
    <w:rsid w:val="00A46C25"/>
    <w:rsid w:val="00A51D63"/>
    <w:rsid w:val="00A54952"/>
    <w:rsid w:val="00A613CB"/>
    <w:rsid w:val="00A65A55"/>
    <w:rsid w:val="00A67AF0"/>
    <w:rsid w:val="00A83124"/>
    <w:rsid w:val="00A85136"/>
    <w:rsid w:val="00A86303"/>
    <w:rsid w:val="00A90389"/>
    <w:rsid w:val="00A92A81"/>
    <w:rsid w:val="00A97E21"/>
    <w:rsid w:val="00AA4335"/>
    <w:rsid w:val="00AA5814"/>
    <w:rsid w:val="00AA65B9"/>
    <w:rsid w:val="00AD6DE7"/>
    <w:rsid w:val="00AE3C60"/>
    <w:rsid w:val="00AE7372"/>
    <w:rsid w:val="00B020D5"/>
    <w:rsid w:val="00B11AAD"/>
    <w:rsid w:val="00B12DD0"/>
    <w:rsid w:val="00B15B47"/>
    <w:rsid w:val="00B16C80"/>
    <w:rsid w:val="00B21358"/>
    <w:rsid w:val="00B22539"/>
    <w:rsid w:val="00B238F2"/>
    <w:rsid w:val="00B27134"/>
    <w:rsid w:val="00B4443D"/>
    <w:rsid w:val="00B465A3"/>
    <w:rsid w:val="00B478BD"/>
    <w:rsid w:val="00B53FC7"/>
    <w:rsid w:val="00B54593"/>
    <w:rsid w:val="00B552D8"/>
    <w:rsid w:val="00B9496E"/>
    <w:rsid w:val="00BA1CF7"/>
    <w:rsid w:val="00BA27E8"/>
    <w:rsid w:val="00BA649A"/>
    <w:rsid w:val="00BB7707"/>
    <w:rsid w:val="00BD2198"/>
    <w:rsid w:val="00BD7E68"/>
    <w:rsid w:val="00BE0376"/>
    <w:rsid w:val="00BE7120"/>
    <w:rsid w:val="00BF114A"/>
    <w:rsid w:val="00C06F28"/>
    <w:rsid w:val="00C117CD"/>
    <w:rsid w:val="00C12B1A"/>
    <w:rsid w:val="00C22755"/>
    <w:rsid w:val="00C24319"/>
    <w:rsid w:val="00C25679"/>
    <w:rsid w:val="00C34732"/>
    <w:rsid w:val="00C34A12"/>
    <w:rsid w:val="00C401CB"/>
    <w:rsid w:val="00C414F9"/>
    <w:rsid w:val="00C42D98"/>
    <w:rsid w:val="00C47A94"/>
    <w:rsid w:val="00C56F83"/>
    <w:rsid w:val="00C579B9"/>
    <w:rsid w:val="00C67AAE"/>
    <w:rsid w:val="00C70534"/>
    <w:rsid w:val="00C713B8"/>
    <w:rsid w:val="00C81351"/>
    <w:rsid w:val="00C83EE0"/>
    <w:rsid w:val="00C90540"/>
    <w:rsid w:val="00CA5AB2"/>
    <w:rsid w:val="00CC0BBE"/>
    <w:rsid w:val="00CC74FE"/>
    <w:rsid w:val="00CC7789"/>
    <w:rsid w:val="00CD419D"/>
    <w:rsid w:val="00CD6446"/>
    <w:rsid w:val="00CD7253"/>
    <w:rsid w:val="00CE4FE4"/>
    <w:rsid w:val="00CF6C24"/>
    <w:rsid w:val="00CF75F9"/>
    <w:rsid w:val="00D126DC"/>
    <w:rsid w:val="00D13AE6"/>
    <w:rsid w:val="00D15455"/>
    <w:rsid w:val="00D200C0"/>
    <w:rsid w:val="00D346B0"/>
    <w:rsid w:val="00D36EDC"/>
    <w:rsid w:val="00D37BF4"/>
    <w:rsid w:val="00D62632"/>
    <w:rsid w:val="00D632DE"/>
    <w:rsid w:val="00D64A92"/>
    <w:rsid w:val="00D67C89"/>
    <w:rsid w:val="00D822E0"/>
    <w:rsid w:val="00D94AE0"/>
    <w:rsid w:val="00DB1C09"/>
    <w:rsid w:val="00DC6A8C"/>
    <w:rsid w:val="00DD5EAB"/>
    <w:rsid w:val="00DE01AB"/>
    <w:rsid w:val="00DE100E"/>
    <w:rsid w:val="00DE7D5D"/>
    <w:rsid w:val="00DF4A42"/>
    <w:rsid w:val="00DF7DDA"/>
    <w:rsid w:val="00E0137C"/>
    <w:rsid w:val="00E058D6"/>
    <w:rsid w:val="00E071F0"/>
    <w:rsid w:val="00E1032F"/>
    <w:rsid w:val="00E23C83"/>
    <w:rsid w:val="00E2545D"/>
    <w:rsid w:val="00E45130"/>
    <w:rsid w:val="00E47750"/>
    <w:rsid w:val="00E51EC7"/>
    <w:rsid w:val="00E615A6"/>
    <w:rsid w:val="00E64FDB"/>
    <w:rsid w:val="00E74E71"/>
    <w:rsid w:val="00E80077"/>
    <w:rsid w:val="00E976F5"/>
    <w:rsid w:val="00EA249C"/>
    <w:rsid w:val="00EB3B37"/>
    <w:rsid w:val="00EB7E96"/>
    <w:rsid w:val="00EC2D93"/>
    <w:rsid w:val="00EE557E"/>
    <w:rsid w:val="00F03F59"/>
    <w:rsid w:val="00F040E3"/>
    <w:rsid w:val="00F046C3"/>
    <w:rsid w:val="00F1104B"/>
    <w:rsid w:val="00F1146C"/>
    <w:rsid w:val="00F11E12"/>
    <w:rsid w:val="00F1350C"/>
    <w:rsid w:val="00F152FD"/>
    <w:rsid w:val="00F25138"/>
    <w:rsid w:val="00F44286"/>
    <w:rsid w:val="00F565D7"/>
    <w:rsid w:val="00F624C0"/>
    <w:rsid w:val="00F667F9"/>
    <w:rsid w:val="00F8505E"/>
    <w:rsid w:val="00FA2FB8"/>
    <w:rsid w:val="00FB1046"/>
    <w:rsid w:val="00FB1389"/>
    <w:rsid w:val="00FC41A6"/>
    <w:rsid w:val="00FC4B1D"/>
    <w:rsid w:val="00FC4B33"/>
    <w:rsid w:val="00FC4BED"/>
    <w:rsid w:val="00FD041F"/>
    <w:rsid w:val="00FE2B01"/>
    <w:rsid w:val="00FE4FF5"/>
    <w:rsid w:val="00FF41CF"/>
    <w:rsid w:val="1512E5FC"/>
    <w:rsid w:val="62171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F756C"/>
  <w15:docId w15:val="{EB840C02-8672-41C9-90E7-DD52C58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link w:val="Heading1Char"/>
    <w:qFormat/>
    <w:pPr>
      <w:numPr>
        <w:numId w:val="2"/>
      </w:numPr>
      <w:spacing w:before="60" w:after="120"/>
      <w:outlineLvl w:val="0"/>
    </w:pPr>
    <w:rPr>
      <w:b/>
      <w:kern w:val="28"/>
    </w:rPr>
  </w:style>
  <w:style w:type="paragraph" w:styleId="Heading2">
    <w:name w:val="heading 2"/>
    <w:basedOn w:val="Normal"/>
    <w:link w:val="Heading2Char"/>
    <w:qFormat/>
    <w:pPr>
      <w:numPr>
        <w:ilvl w:val="1"/>
        <w:numId w:val="2"/>
      </w:numPr>
      <w:spacing w:before="60" w:after="120"/>
      <w:outlineLvl w:val="1"/>
    </w:pPr>
  </w:style>
  <w:style w:type="paragraph" w:styleId="Heading3">
    <w:name w:val="heading 3"/>
    <w:basedOn w:val="Normal"/>
    <w:qFormat/>
    <w:pPr>
      <w:numPr>
        <w:ilvl w:val="2"/>
        <w:numId w:val="2"/>
      </w:numPr>
      <w:spacing w:before="12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
    <w:name w:val="Table"/>
    <w:basedOn w:val="Normal"/>
    <w:pPr>
      <w:spacing w:before="120"/>
    </w:pPr>
    <w:rPr>
      <w:b/>
    </w:rPr>
  </w:style>
  <w:style w:type="paragraph" w:customStyle="1" w:styleId="BodySingle">
    <w:name w:val="Body Single"/>
    <w:autoRedefine/>
    <w:rPr>
      <w:snapToGrid w:val="0"/>
      <w:color w:val="000000"/>
      <w:sz w:val="24"/>
      <w:lang w:eastAsia="en-US"/>
    </w:rPr>
  </w:style>
  <w:style w:type="paragraph" w:customStyle="1" w:styleId="romannolist">
    <w:name w:val="roman no list"/>
    <w:pPr>
      <w:numPr>
        <w:numId w:val="4"/>
      </w:numPr>
      <w:spacing w:after="120"/>
    </w:pPr>
    <w:rPr>
      <w:snapToGrid w:val="0"/>
      <w:sz w:val="24"/>
      <w:lang w:eastAsia="en-US"/>
    </w:rPr>
  </w:style>
  <w:style w:type="paragraph" w:styleId="Header">
    <w:name w:val="header"/>
    <w:basedOn w:val="Normal"/>
    <w:pPr>
      <w:tabs>
        <w:tab w:val="center" w:pos="4153"/>
        <w:tab w:val="right" w:pos="8306"/>
      </w:tabs>
    </w:pPr>
  </w:style>
  <w:style w:type="paragraph" w:customStyle="1" w:styleId="Bullets">
    <w:name w:val="Bullets"/>
    <w:basedOn w:val="Normal"/>
    <w:pPr>
      <w:numPr>
        <w:numId w:val="1"/>
      </w:numPr>
      <w:spacing w:after="240"/>
    </w:pPr>
  </w:style>
  <w:style w:type="paragraph" w:styleId="Footer">
    <w:name w:val="footer"/>
    <w:basedOn w:val="Normal"/>
    <w:link w:val="FooterChar"/>
    <w:uiPriority w:val="99"/>
    <w:pPr>
      <w:tabs>
        <w:tab w:val="center" w:pos="4153"/>
        <w:tab w:val="right" w:pos="8306"/>
      </w:tabs>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3"/>
      </w:numPr>
      <w:spacing w:after="120"/>
      <w:jc w:val="both"/>
    </w:pPr>
    <w:rPr>
      <w:noProof/>
      <w:sz w:val="24"/>
      <w:lang w:eastAsia="en-US"/>
    </w:rPr>
  </w:style>
  <w:style w:type="character" w:styleId="PageNumber">
    <w:name w:val="page number"/>
    <w:basedOn w:val="DefaultParagraphFont"/>
  </w:style>
  <w:style w:type="table" w:styleId="TableGrid">
    <w:name w:val="Table Grid"/>
    <w:basedOn w:val="TableNormal"/>
    <w:rsid w:val="0058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B6A51"/>
    <w:pPr>
      <w:spacing w:before="100" w:beforeAutospacing="1" w:after="100" w:afterAutospacing="1"/>
    </w:pPr>
    <w:rPr>
      <w:rFonts w:ascii="Arial Unicode MS" w:eastAsia="Arial Unicode MS" w:hAnsi="Arial Unicode MS" w:cs="Arial Unicode MS" w:hint="eastAsia"/>
      <w:szCs w:val="24"/>
    </w:rPr>
  </w:style>
  <w:style w:type="paragraph" w:styleId="Title">
    <w:name w:val="Title"/>
    <w:basedOn w:val="Normal"/>
    <w:qFormat/>
    <w:rsid w:val="00FE2B01"/>
    <w:pPr>
      <w:jc w:val="center"/>
    </w:pPr>
    <w:rPr>
      <w:rFonts w:ascii="Gill Sans MT" w:hAnsi="Gill Sans MT"/>
      <w:b/>
      <w:bCs/>
      <w:szCs w:val="24"/>
    </w:rPr>
  </w:style>
  <w:style w:type="paragraph" w:styleId="ListParagraph">
    <w:name w:val="List Paragraph"/>
    <w:basedOn w:val="Normal"/>
    <w:link w:val="ListParagraphChar"/>
    <w:uiPriority w:val="34"/>
    <w:qFormat/>
    <w:rsid w:val="00B22539"/>
    <w:pPr>
      <w:ind w:left="720"/>
    </w:pPr>
  </w:style>
  <w:style w:type="character" w:styleId="Hyperlink">
    <w:name w:val="Hyperlink"/>
    <w:basedOn w:val="DefaultParagraphFont"/>
    <w:rsid w:val="00E0137C"/>
    <w:rPr>
      <w:color w:val="0000FF" w:themeColor="hyperlink"/>
      <w:u w:val="single"/>
    </w:rPr>
  </w:style>
  <w:style w:type="paragraph" w:styleId="BalloonText">
    <w:name w:val="Balloon Text"/>
    <w:basedOn w:val="Normal"/>
    <w:link w:val="BalloonTextChar"/>
    <w:rsid w:val="00E51EC7"/>
    <w:rPr>
      <w:rFonts w:ascii="Tahoma" w:hAnsi="Tahoma" w:cs="Tahoma"/>
      <w:sz w:val="16"/>
      <w:szCs w:val="16"/>
    </w:rPr>
  </w:style>
  <w:style w:type="character" w:customStyle="1" w:styleId="BalloonTextChar">
    <w:name w:val="Balloon Text Char"/>
    <w:basedOn w:val="DefaultParagraphFont"/>
    <w:link w:val="BalloonText"/>
    <w:rsid w:val="00E51EC7"/>
    <w:rPr>
      <w:rFonts w:ascii="Tahoma" w:hAnsi="Tahoma" w:cs="Tahoma"/>
      <w:sz w:val="16"/>
      <w:szCs w:val="16"/>
      <w:lang w:eastAsia="en-US"/>
    </w:rPr>
  </w:style>
  <w:style w:type="character" w:customStyle="1" w:styleId="Heading1Char">
    <w:name w:val="Heading 1 Char"/>
    <w:basedOn w:val="DefaultParagraphFont"/>
    <w:link w:val="Heading1"/>
    <w:rsid w:val="0038548B"/>
    <w:rPr>
      <w:rFonts w:ascii="Garamond" w:hAnsi="Garamond"/>
      <w:b/>
      <w:kern w:val="28"/>
      <w:sz w:val="24"/>
      <w:lang w:eastAsia="en-US"/>
    </w:rPr>
  </w:style>
  <w:style w:type="character" w:customStyle="1" w:styleId="Heading2Char">
    <w:name w:val="Heading 2 Char"/>
    <w:basedOn w:val="DefaultParagraphFont"/>
    <w:link w:val="Heading2"/>
    <w:rsid w:val="0038548B"/>
    <w:rPr>
      <w:rFonts w:ascii="Garamond" w:hAnsi="Garamond"/>
      <w:sz w:val="24"/>
      <w:lang w:eastAsia="en-US"/>
    </w:rPr>
  </w:style>
  <w:style w:type="paragraph" w:customStyle="1" w:styleId="StyleHeading4Italic">
    <w:name w:val="Style Heading 4 + Italic"/>
    <w:basedOn w:val="Heading4"/>
    <w:next w:val="Heading4"/>
    <w:link w:val="StyleHeading4ItalicChar"/>
    <w:rsid w:val="0038548B"/>
    <w:pPr>
      <w:keepNext w:val="0"/>
      <w:tabs>
        <w:tab w:val="num" w:pos="454"/>
      </w:tabs>
      <w:spacing w:before="120" w:after="120"/>
      <w:ind w:left="454" w:hanging="454"/>
    </w:pPr>
    <w:rPr>
      <w:rFonts w:cs="Arial"/>
      <w:b w:val="0"/>
      <w:i/>
      <w:iCs/>
      <w:szCs w:val="24"/>
    </w:rPr>
  </w:style>
  <w:style w:type="character" w:customStyle="1" w:styleId="StyleHeading4ItalicChar">
    <w:name w:val="Style Heading 4 + Italic Char"/>
    <w:link w:val="StyleHeading4Italic"/>
    <w:rsid w:val="0038548B"/>
    <w:rPr>
      <w:rFonts w:ascii="Arial" w:hAnsi="Arial" w:cs="Arial"/>
      <w:i/>
      <w:iCs/>
      <w:sz w:val="24"/>
      <w:szCs w:val="24"/>
      <w:lang w:eastAsia="en-US"/>
    </w:rPr>
  </w:style>
  <w:style w:type="paragraph" w:customStyle="1" w:styleId="paragraph">
    <w:name w:val="paragraph"/>
    <w:basedOn w:val="Normal"/>
    <w:rsid w:val="00A0708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07082"/>
  </w:style>
  <w:style w:type="character" w:customStyle="1" w:styleId="eop">
    <w:name w:val="eop"/>
    <w:basedOn w:val="DefaultParagraphFont"/>
    <w:rsid w:val="00A07082"/>
  </w:style>
  <w:style w:type="character" w:styleId="UnresolvedMention">
    <w:name w:val="Unresolved Mention"/>
    <w:basedOn w:val="DefaultParagraphFont"/>
    <w:uiPriority w:val="99"/>
    <w:semiHidden/>
    <w:unhideWhenUsed/>
    <w:rsid w:val="00C579B9"/>
    <w:rPr>
      <w:color w:val="605E5C"/>
      <w:shd w:val="clear" w:color="auto" w:fill="E1DFDD"/>
    </w:rPr>
  </w:style>
  <w:style w:type="character" w:customStyle="1" w:styleId="ListParagraphChar">
    <w:name w:val="List Paragraph Char"/>
    <w:basedOn w:val="DefaultParagraphFont"/>
    <w:link w:val="ListParagraph"/>
    <w:uiPriority w:val="34"/>
    <w:locked/>
    <w:rsid w:val="004A2967"/>
    <w:rPr>
      <w:rFonts w:ascii="Garamond" w:hAnsi="Garamond"/>
      <w:sz w:val="24"/>
      <w:lang w:eastAsia="en-US"/>
    </w:rPr>
  </w:style>
  <w:style w:type="character" w:customStyle="1" w:styleId="ui-provider">
    <w:name w:val="ui-provider"/>
    <w:basedOn w:val="DefaultParagraphFont"/>
    <w:rsid w:val="004A2967"/>
  </w:style>
  <w:style w:type="character" w:styleId="CommentReference">
    <w:name w:val="annotation reference"/>
    <w:basedOn w:val="DefaultParagraphFont"/>
    <w:semiHidden/>
    <w:unhideWhenUsed/>
    <w:rsid w:val="0007305F"/>
    <w:rPr>
      <w:sz w:val="16"/>
      <w:szCs w:val="16"/>
    </w:rPr>
  </w:style>
  <w:style w:type="paragraph" w:styleId="CommentText">
    <w:name w:val="annotation text"/>
    <w:basedOn w:val="Normal"/>
    <w:link w:val="CommentTextChar"/>
    <w:unhideWhenUsed/>
    <w:rsid w:val="0007305F"/>
    <w:rPr>
      <w:sz w:val="20"/>
    </w:rPr>
  </w:style>
  <w:style w:type="character" w:customStyle="1" w:styleId="CommentTextChar">
    <w:name w:val="Comment Text Char"/>
    <w:basedOn w:val="DefaultParagraphFont"/>
    <w:link w:val="CommentText"/>
    <w:rsid w:val="0007305F"/>
    <w:rPr>
      <w:rFonts w:ascii="Garamond" w:hAnsi="Garamond"/>
      <w:lang w:eastAsia="en-US"/>
    </w:rPr>
  </w:style>
  <w:style w:type="paragraph" w:styleId="CommentSubject">
    <w:name w:val="annotation subject"/>
    <w:basedOn w:val="CommentText"/>
    <w:next w:val="CommentText"/>
    <w:link w:val="CommentSubjectChar"/>
    <w:semiHidden/>
    <w:unhideWhenUsed/>
    <w:rsid w:val="0007305F"/>
    <w:rPr>
      <w:b/>
      <w:bCs/>
    </w:rPr>
  </w:style>
  <w:style w:type="character" w:customStyle="1" w:styleId="CommentSubjectChar">
    <w:name w:val="Comment Subject Char"/>
    <w:basedOn w:val="CommentTextChar"/>
    <w:link w:val="CommentSubject"/>
    <w:semiHidden/>
    <w:rsid w:val="0007305F"/>
    <w:rPr>
      <w:rFonts w:ascii="Garamond" w:hAnsi="Garamond"/>
      <w:b/>
      <w:bCs/>
      <w:lang w:eastAsia="en-US"/>
    </w:rPr>
  </w:style>
  <w:style w:type="character" w:styleId="FollowedHyperlink">
    <w:name w:val="FollowedHyperlink"/>
    <w:basedOn w:val="DefaultParagraphFont"/>
    <w:semiHidden/>
    <w:unhideWhenUsed/>
    <w:rsid w:val="0007305F"/>
    <w:rPr>
      <w:color w:val="800080" w:themeColor="followedHyperlink"/>
      <w:u w:val="single"/>
    </w:rPr>
  </w:style>
  <w:style w:type="character" w:customStyle="1" w:styleId="FooterChar">
    <w:name w:val="Footer Char"/>
    <w:basedOn w:val="DefaultParagraphFont"/>
    <w:link w:val="Footer"/>
    <w:uiPriority w:val="99"/>
    <w:rsid w:val="008F7B6E"/>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3776">
      <w:bodyDiv w:val="1"/>
      <w:marLeft w:val="0"/>
      <w:marRight w:val="0"/>
      <w:marTop w:val="0"/>
      <w:marBottom w:val="0"/>
      <w:divBdr>
        <w:top w:val="none" w:sz="0" w:space="0" w:color="auto"/>
        <w:left w:val="none" w:sz="0" w:space="0" w:color="auto"/>
        <w:bottom w:val="none" w:sz="0" w:space="0" w:color="auto"/>
        <w:right w:val="none" w:sz="0" w:space="0" w:color="auto"/>
      </w:divBdr>
    </w:div>
    <w:div w:id="455761433">
      <w:bodyDiv w:val="1"/>
      <w:marLeft w:val="0"/>
      <w:marRight w:val="0"/>
      <w:marTop w:val="0"/>
      <w:marBottom w:val="0"/>
      <w:divBdr>
        <w:top w:val="none" w:sz="0" w:space="0" w:color="auto"/>
        <w:left w:val="none" w:sz="0" w:space="0" w:color="auto"/>
        <w:bottom w:val="none" w:sz="0" w:space="0" w:color="auto"/>
        <w:right w:val="none" w:sz="0" w:space="0" w:color="auto"/>
      </w:divBdr>
    </w:div>
    <w:div w:id="491410541">
      <w:bodyDiv w:val="1"/>
      <w:marLeft w:val="0"/>
      <w:marRight w:val="0"/>
      <w:marTop w:val="0"/>
      <w:marBottom w:val="0"/>
      <w:divBdr>
        <w:top w:val="none" w:sz="0" w:space="0" w:color="auto"/>
        <w:left w:val="none" w:sz="0" w:space="0" w:color="auto"/>
        <w:bottom w:val="none" w:sz="0" w:space="0" w:color="auto"/>
        <w:right w:val="none" w:sz="0" w:space="0" w:color="auto"/>
      </w:divBdr>
    </w:div>
    <w:div w:id="998382174">
      <w:bodyDiv w:val="1"/>
      <w:marLeft w:val="0"/>
      <w:marRight w:val="0"/>
      <w:marTop w:val="0"/>
      <w:marBottom w:val="0"/>
      <w:divBdr>
        <w:top w:val="none" w:sz="0" w:space="0" w:color="auto"/>
        <w:left w:val="none" w:sz="0" w:space="0" w:color="auto"/>
        <w:bottom w:val="none" w:sz="0" w:space="0" w:color="auto"/>
        <w:right w:val="none" w:sz="0" w:space="0" w:color="auto"/>
      </w:divBdr>
    </w:div>
    <w:div w:id="1284845242">
      <w:bodyDiv w:val="1"/>
      <w:marLeft w:val="0"/>
      <w:marRight w:val="0"/>
      <w:marTop w:val="0"/>
      <w:marBottom w:val="0"/>
      <w:divBdr>
        <w:top w:val="none" w:sz="0" w:space="0" w:color="auto"/>
        <w:left w:val="none" w:sz="0" w:space="0" w:color="auto"/>
        <w:bottom w:val="none" w:sz="0" w:space="0" w:color="auto"/>
        <w:right w:val="none" w:sz="0" w:space="0" w:color="auto"/>
      </w:divBdr>
    </w:div>
    <w:div w:id="1293437258">
      <w:bodyDiv w:val="1"/>
      <w:marLeft w:val="0"/>
      <w:marRight w:val="0"/>
      <w:marTop w:val="0"/>
      <w:marBottom w:val="0"/>
      <w:divBdr>
        <w:top w:val="none" w:sz="0" w:space="0" w:color="auto"/>
        <w:left w:val="none" w:sz="0" w:space="0" w:color="auto"/>
        <w:bottom w:val="none" w:sz="0" w:space="0" w:color="auto"/>
        <w:right w:val="none" w:sz="0" w:space="0" w:color="auto"/>
      </w:divBdr>
    </w:div>
    <w:div w:id="1362778414">
      <w:bodyDiv w:val="1"/>
      <w:marLeft w:val="0"/>
      <w:marRight w:val="0"/>
      <w:marTop w:val="0"/>
      <w:marBottom w:val="0"/>
      <w:divBdr>
        <w:top w:val="none" w:sz="0" w:space="0" w:color="auto"/>
        <w:left w:val="none" w:sz="0" w:space="0" w:color="auto"/>
        <w:bottom w:val="none" w:sz="0" w:space="0" w:color="auto"/>
        <w:right w:val="none" w:sz="0" w:space="0" w:color="auto"/>
      </w:divBdr>
      <w:divsChild>
        <w:div w:id="143787906">
          <w:marLeft w:val="0"/>
          <w:marRight w:val="0"/>
          <w:marTop w:val="0"/>
          <w:marBottom w:val="0"/>
          <w:divBdr>
            <w:top w:val="none" w:sz="0" w:space="0" w:color="auto"/>
            <w:left w:val="none" w:sz="0" w:space="0" w:color="auto"/>
            <w:bottom w:val="none" w:sz="0" w:space="0" w:color="auto"/>
            <w:right w:val="none" w:sz="0" w:space="0" w:color="auto"/>
          </w:divBdr>
        </w:div>
        <w:div w:id="497812374">
          <w:marLeft w:val="0"/>
          <w:marRight w:val="0"/>
          <w:marTop w:val="0"/>
          <w:marBottom w:val="0"/>
          <w:divBdr>
            <w:top w:val="none" w:sz="0" w:space="0" w:color="auto"/>
            <w:left w:val="none" w:sz="0" w:space="0" w:color="auto"/>
            <w:bottom w:val="none" w:sz="0" w:space="0" w:color="auto"/>
            <w:right w:val="none" w:sz="0" w:space="0" w:color="auto"/>
          </w:divBdr>
        </w:div>
        <w:div w:id="619803675">
          <w:marLeft w:val="0"/>
          <w:marRight w:val="0"/>
          <w:marTop w:val="0"/>
          <w:marBottom w:val="0"/>
          <w:divBdr>
            <w:top w:val="none" w:sz="0" w:space="0" w:color="auto"/>
            <w:left w:val="none" w:sz="0" w:space="0" w:color="auto"/>
            <w:bottom w:val="none" w:sz="0" w:space="0" w:color="auto"/>
            <w:right w:val="none" w:sz="0" w:space="0" w:color="auto"/>
          </w:divBdr>
        </w:div>
      </w:divsChild>
    </w:div>
    <w:div w:id="1694915884">
      <w:bodyDiv w:val="1"/>
      <w:marLeft w:val="0"/>
      <w:marRight w:val="0"/>
      <w:marTop w:val="0"/>
      <w:marBottom w:val="0"/>
      <w:divBdr>
        <w:top w:val="none" w:sz="0" w:space="0" w:color="auto"/>
        <w:left w:val="none" w:sz="0" w:space="0" w:color="auto"/>
        <w:bottom w:val="none" w:sz="0" w:space="0" w:color="auto"/>
        <w:right w:val="none" w:sz="0" w:space="0" w:color="auto"/>
      </w:divBdr>
    </w:div>
    <w:div w:id="1895772303">
      <w:bodyDiv w:val="1"/>
      <w:marLeft w:val="0"/>
      <w:marRight w:val="0"/>
      <w:marTop w:val="0"/>
      <w:marBottom w:val="0"/>
      <w:divBdr>
        <w:top w:val="none" w:sz="0" w:space="0" w:color="auto"/>
        <w:left w:val="none" w:sz="0" w:space="0" w:color="auto"/>
        <w:bottom w:val="none" w:sz="0" w:space="0" w:color="auto"/>
        <w:right w:val="none" w:sz="0" w:space="0" w:color="auto"/>
      </w:divBdr>
    </w:div>
    <w:div w:id="20860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maginationlibrary.com/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cuments.hants.gov.uk/cic-virtual-college/training-brochure-2024-2025.pdf" TargetMode="External"/><Relationship Id="rId2" Type="http://schemas.openxmlformats.org/officeDocument/2006/relationships/customXml" Target="../customXml/item2.xml"/><Relationship Id="rId16" Type="http://schemas.openxmlformats.org/officeDocument/2006/relationships/hyperlink" Target="https://virtualschool.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nye@hants.gov.uk" TargetMode="External"/><Relationship Id="rId5" Type="http://schemas.openxmlformats.org/officeDocument/2006/relationships/numbering" Target="numbering.xml"/><Relationship Id="rId15" Type="http://schemas.openxmlformats.org/officeDocument/2006/relationships/hyperlink" Target="https://documents.hants.gov.uk/cic-virtual-college/PupilPremiumPlus-policy-guidance.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c5ac\Downloads\CSDMT%20Report%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65F3EF0D5E044AAEE0747316F5AB7" ma:contentTypeVersion="10" ma:contentTypeDescription="Create a new document." ma:contentTypeScope="" ma:versionID="059becacf35c45fd7a9467d44efed2cf">
  <xsd:schema xmlns:xsd="http://www.w3.org/2001/XMLSchema" xmlns:xs="http://www.w3.org/2001/XMLSchema" xmlns:p="http://schemas.microsoft.com/office/2006/metadata/properties" xmlns:ns2="d678d4eb-36de-4c5c-aa1e-95da51304ea2" xmlns:ns3="a0568ade-ff94-49fe-bf1e-527149056d3b" targetNamespace="http://schemas.microsoft.com/office/2006/metadata/properties" ma:root="true" ma:fieldsID="1454e78d2256096b0b986ac395072531" ns2:_="" ns3:_="">
    <xsd:import namespace="d678d4eb-36de-4c5c-aa1e-95da51304ea2"/>
    <xsd:import namespace="a0568ade-ff94-49fe-bf1e-527149056d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8d4eb-36de-4c5c-aa1e-95da5130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68ade-ff94-49fe-bf1e-527149056d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7b4185-d34b-45c8-8d3c-29231e6c1d5e}" ma:internalName="TaxCatchAll" ma:showField="CatchAllData" ma:web="a0568ade-ff94-49fe-bf1e-527149056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68ade-ff94-49fe-bf1e-527149056d3b" xsi:nil="true"/>
    <lcf76f155ced4ddcb4097134ff3c332f xmlns="d678d4eb-36de-4c5c-aa1e-95da51304e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FEB1-CA29-4FBB-9C06-C031FBB5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8d4eb-36de-4c5c-aa1e-95da51304ea2"/>
    <ds:schemaRef ds:uri="a0568ade-ff94-49fe-bf1e-527149056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5F4B3-EE67-4C7E-B8D0-5CA10D6B46A8}">
  <ds:schemaRefs>
    <ds:schemaRef ds:uri="http://schemas.microsoft.com/sharepoint/v3/contenttype/forms"/>
  </ds:schemaRefs>
</ds:datastoreItem>
</file>

<file path=customXml/itemProps3.xml><?xml version="1.0" encoding="utf-8"?>
<ds:datastoreItem xmlns:ds="http://schemas.openxmlformats.org/officeDocument/2006/customXml" ds:itemID="{207A4E6D-C50B-4DF0-80F3-FCEDADB9522A}">
  <ds:schemaRefs>
    <ds:schemaRef ds:uri="http://schemas.microsoft.com/office/2006/metadata/properties"/>
    <ds:schemaRef ds:uri="http://schemas.microsoft.com/office/infopath/2007/PartnerControls"/>
    <ds:schemaRef ds:uri="a0568ade-ff94-49fe-bf1e-527149056d3b"/>
    <ds:schemaRef ds:uri="d678d4eb-36de-4c5c-aa1e-95da51304ea2"/>
  </ds:schemaRefs>
</ds:datastoreItem>
</file>

<file path=customXml/itemProps4.xml><?xml version="1.0" encoding="utf-8"?>
<ds:datastoreItem xmlns:ds="http://schemas.openxmlformats.org/officeDocument/2006/customXml" ds:itemID="{A147B864-8686-44E0-A6F8-1C3DA20A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CSDMT Report master template</Template>
  <TotalTime>1446</TotalTime>
  <Pages>13</Pages>
  <Words>4489</Words>
  <Characters>23837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Hampshire County Council</Company>
  <LinksUpToDate>false</LinksUpToDate>
  <CharactersWithSpaces>28270</CharactersWithSpaces>
  <SharedDoc>false</SharedDoc>
  <HLinks>
    <vt:vector size="30" baseType="variant">
      <vt:variant>
        <vt:i4>2883627</vt:i4>
      </vt:variant>
      <vt:variant>
        <vt:i4>12</vt:i4>
      </vt:variant>
      <vt:variant>
        <vt:i4>0</vt:i4>
      </vt:variant>
      <vt:variant>
        <vt:i4>5</vt:i4>
      </vt:variant>
      <vt:variant>
        <vt:lpwstr>https://imaginationlibrary.com/uk/</vt:lpwstr>
      </vt:variant>
      <vt:variant>
        <vt:lpwstr/>
      </vt:variant>
      <vt:variant>
        <vt:i4>3145782</vt:i4>
      </vt:variant>
      <vt:variant>
        <vt:i4>9</vt:i4>
      </vt:variant>
      <vt:variant>
        <vt:i4>0</vt:i4>
      </vt:variant>
      <vt:variant>
        <vt:i4>5</vt:i4>
      </vt:variant>
      <vt:variant>
        <vt:lpwstr>https://documents.hants.gov.uk/cic-virtual-college/training-brochure-2024-2025.pdf</vt:lpwstr>
      </vt:variant>
      <vt:variant>
        <vt:lpwstr/>
      </vt:variant>
      <vt:variant>
        <vt:i4>2490412</vt:i4>
      </vt:variant>
      <vt:variant>
        <vt:i4>6</vt:i4>
      </vt:variant>
      <vt:variant>
        <vt:i4>0</vt:i4>
      </vt:variant>
      <vt:variant>
        <vt:i4>5</vt:i4>
      </vt:variant>
      <vt:variant>
        <vt:lpwstr>https://virtualschool.hants.gov.uk/</vt:lpwstr>
      </vt:variant>
      <vt:variant>
        <vt:lpwstr/>
      </vt:variant>
      <vt:variant>
        <vt:i4>2097277</vt:i4>
      </vt:variant>
      <vt:variant>
        <vt:i4>3</vt:i4>
      </vt:variant>
      <vt:variant>
        <vt:i4>0</vt:i4>
      </vt:variant>
      <vt:variant>
        <vt:i4>5</vt:i4>
      </vt:variant>
      <vt:variant>
        <vt:lpwstr>https://documents.hants.gov.uk/cic-virtual-college/PupilPremiumPlus-policy-guidance.pdf</vt:lpwstr>
      </vt:variant>
      <vt:variant>
        <vt:lpwstr/>
      </vt:variant>
      <vt:variant>
        <vt:i4>6488152</vt:i4>
      </vt:variant>
      <vt:variant>
        <vt:i4>0</vt:i4>
      </vt:variant>
      <vt:variant>
        <vt:i4>0</vt:i4>
      </vt:variant>
      <vt:variant>
        <vt:i4>5</vt:i4>
      </vt:variant>
      <vt:variant>
        <vt:lpwstr>mailto:michelle.nye@hants.gov.uk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subject/>
  <dc:creator>Clubley, Aishya</dc:creator>
  <cp:keywords/>
  <cp:lastModifiedBy>Nye, Michelle</cp:lastModifiedBy>
  <cp:revision>177</cp:revision>
  <cp:lastPrinted>1901-01-01T08:00:00Z</cp:lastPrinted>
  <dcterms:created xsi:type="dcterms:W3CDTF">2025-04-16T16:05:00Z</dcterms:created>
  <dcterms:modified xsi:type="dcterms:W3CDTF">2025-06-27T14:27:00Z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0x0101002AD65F3EF0D5E044AAEE0747316F5AB7</vt:lpwstr>
  </property>
  <property fmtid="{D5CDD505-2E9C-101B-9397-08002B2CF9AE}" pid="3" name="_dlc_DocIdItemGuid">
    <vt:lpwstr>841fd7c3-1a7d-4915-a988-dc567f4a246a</vt:lpwstr>
  </property>
</Properties>
</file>